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4FACE2" w14:textId="1EB333D4" w:rsidR="00170DCE" w:rsidRDefault="003E76E2" w:rsidP="009869C5">
      <w:pPr>
        <w:pStyle w:val="Podnadpis"/>
        <w:rPr>
          <w:sz w:val="28"/>
          <w:szCs w:val="28"/>
          <w:lang w:eastAsia="cs-CZ"/>
        </w:rPr>
      </w:pPr>
      <w:r>
        <w:rPr>
          <w:noProof/>
        </w:rPr>
        <w:drawing>
          <wp:anchor distT="0" distB="0" distL="114935" distR="114935" simplePos="0" relativeHeight="251657728" behindDoc="0" locked="0" layoutInCell="1" allowOverlap="1" wp14:anchorId="30154B40" wp14:editId="6DC44C62">
            <wp:simplePos x="0" y="0"/>
            <wp:positionH relativeFrom="margin">
              <wp:posOffset>5133975</wp:posOffset>
            </wp:positionH>
            <wp:positionV relativeFrom="margin">
              <wp:posOffset>-476250</wp:posOffset>
            </wp:positionV>
            <wp:extent cx="984250" cy="68008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4250" cy="680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CA85B82" w14:textId="77777777" w:rsidR="00170DCE" w:rsidRDefault="00170DCE">
      <w:pPr>
        <w:pStyle w:val="tecky"/>
        <w:tabs>
          <w:tab w:val="clear" w:pos="2264"/>
          <w:tab w:val="clear" w:pos="2552"/>
          <w:tab w:val="clear" w:pos="5103"/>
          <w:tab w:val="clear" w:pos="5387"/>
          <w:tab w:val="clear" w:pos="7938"/>
          <w:tab w:val="right" w:leader="dot" w:pos="9781"/>
        </w:tabs>
        <w:spacing w:before="60" w:after="0"/>
        <w:rPr>
          <w:rFonts w:ascii="Arial" w:hAnsi="Arial" w:cs="Arial"/>
          <w:sz w:val="28"/>
          <w:szCs w:val="28"/>
          <w:lang w:eastAsia="cs-CZ"/>
        </w:rPr>
      </w:pPr>
    </w:p>
    <w:p w14:paraId="31CB3204" w14:textId="77777777" w:rsidR="00176560" w:rsidRDefault="00176560" w:rsidP="00176560">
      <w:pPr>
        <w:pStyle w:val="Default"/>
        <w:rPr>
          <w:rFonts w:ascii="Arial" w:eastAsia="BatangChe" w:hAnsi="Arial" w:cs="Arial"/>
          <w:b/>
          <w:bCs/>
        </w:rPr>
      </w:pPr>
      <w:r>
        <w:rPr>
          <w:rFonts w:ascii="Arial" w:eastAsia="BatangChe" w:hAnsi="Arial" w:cs="Arial"/>
          <w:b/>
          <w:bCs/>
        </w:rPr>
        <w:t>Fio banka, a.s.</w:t>
      </w:r>
    </w:p>
    <w:p w14:paraId="5B4A883C" w14:textId="77777777" w:rsidR="00176560" w:rsidRDefault="00176560" w:rsidP="00176560">
      <w:pPr>
        <w:pStyle w:val="Default"/>
        <w:rPr>
          <w:rFonts w:ascii="Arial" w:eastAsia="BatangChe" w:hAnsi="Arial" w:cs="Arial"/>
          <w:b/>
          <w:bCs/>
        </w:rPr>
      </w:pPr>
      <w:r>
        <w:rPr>
          <w:rFonts w:ascii="Arial" w:eastAsia="BatangChe" w:hAnsi="Arial" w:cs="Arial"/>
          <w:b/>
          <w:bCs/>
        </w:rPr>
        <w:t>(dále jen Banka)</w:t>
      </w:r>
    </w:p>
    <w:p w14:paraId="46B83E5B" w14:textId="77777777" w:rsidR="00406B49" w:rsidRDefault="00406B49" w:rsidP="00176560">
      <w:pPr>
        <w:pStyle w:val="Default"/>
        <w:rPr>
          <w:rFonts w:ascii="Arial" w:eastAsia="BatangChe" w:hAnsi="Arial" w:cs="Arial"/>
          <w:b/>
          <w:bCs/>
        </w:rPr>
      </w:pPr>
      <w:r w:rsidRPr="00406B49">
        <w:rPr>
          <w:rFonts w:ascii="Arial" w:eastAsia="BatangChe" w:hAnsi="Arial" w:cs="Arial"/>
          <w:b/>
          <w:bCs/>
        </w:rPr>
        <w:t>Na Florenci 2139/2</w:t>
      </w:r>
    </w:p>
    <w:p w14:paraId="6035307C" w14:textId="725DB331" w:rsidR="00176560" w:rsidRDefault="00176560" w:rsidP="00176560">
      <w:pPr>
        <w:pStyle w:val="Default"/>
        <w:rPr>
          <w:rFonts w:ascii="Arial" w:eastAsia="BatangChe" w:hAnsi="Arial" w:cs="Arial"/>
          <w:b/>
          <w:bCs/>
        </w:rPr>
      </w:pPr>
      <w:r>
        <w:rPr>
          <w:rFonts w:ascii="Arial" w:eastAsia="BatangChe" w:hAnsi="Arial" w:cs="Arial"/>
          <w:b/>
          <w:bCs/>
        </w:rPr>
        <w:t>11</w:t>
      </w:r>
      <w:r w:rsidR="00406B49">
        <w:rPr>
          <w:rFonts w:ascii="Arial" w:eastAsia="BatangChe" w:hAnsi="Arial" w:cs="Arial"/>
          <w:b/>
          <w:bCs/>
        </w:rPr>
        <w:t>0 00</w:t>
      </w:r>
      <w:r>
        <w:rPr>
          <w:rFonts w:ascii="Arial" w:eastAsia="BatangChe" w:hAnsi="Arial" w:cs="Arial"/>
          <w:b/>
          <w:bCs/>
        </w:rPr>
        <w:t xml:space="preserve"> Praha 1</w:t>
      </w:r>
    </w:p>
    <w:p w14:paraId="181F28E9" w14:textId="77777777" w:rsidR="00176560" w:rsidRPr="00E156CA" w:rsidRDefault="00176560" w:rsidP="00983736">
      <w:pPr>
        <w:autoSpaceDE w:val="0"/>
        <w:rPr>
          <w:rFonts w:ascii="Arial" w:hAnsi="Arial" w:cs="Arial"/>
        </w:rPr>
      </w:pPr>
    </w:p>
    <w:p w14:paraId="0656A563" w14:textId="77777777" w:rsidR="00377AEA" w:rsidRDefault="00377AEA" w:rsidP="00AC18FB">
      <w:pPr>
        <w:pStyle w:val="Nomln"/>
        <w:spacing w:before="60"/>
        <w:ind w:firstLine="0"/>
        <w:rPr>
          <w:rFonts w:ascii="Arial" w:hAnsi="Arial" w:cs="Arial"/>
          <w:b/>
          <w:bCs/>
          <w:szCs w:val="24"/>
          <w:lang w:eastAsia="cs-CZ"/>
        </w:rPr>
      </w:pPr>
      <w:r w:rsidRPr="00377AEA">
        <w:rPr>
          <w:rFonts w:ascii="Arial" w:hAnsi="Arial" w:cs="Arial"/>
          <w:b/>
          <w:bCs/>
          <w:szCs w:val="24"/>
          <w:lang w:eastAsia="cs-CZ"/>
        </w:rPr>
        <w:t>EXEKUTORSKÝ ÚŘAD CHEB</w:t>
      </w:r>
    </w:p>
    <w:p w14:paraId="677F25F3" w14:textId="77777777" w:rsidR="00377AEA" w:rsidRDefault="00377AEA" w:rsidP="00AC18FB">
      <w:pPr>
        <w:pStyle w:val="Nomln"/>
        <w:spacing w:before="60"/>
        <w:ind w:firstLine="0"/>
        <w:rPr>
          <w:rFonts w:ascii="Arial" w:hAnsi="Arial" w:cs="Arial"/>
          <w:b/>
          <w:bCs/>
          <w:szCs w:val="24"/>
          <w:lang w:eastAsia="cs-CZ"/>
        </w:rPr>
      </w:pPr>
      <w:r w:rsidRPr="00377AEA">
        <w:rPr>
          <w:rFonts w:ascii="Arial" w:hAnsi="Arial" w:cs="Arial"/>
          <w:b/>
          <w:bCs/>
          <w:szCs w:val="24"/>
          <w:lang w:eastAsia="cs-CZ"/>
        </w:rPr>
        <w:t>Soudní exekutor JUDr. Josef Lavička</w:t>
      </w:r>
    </w:p>
    <w:p w14:paraId="29AB7E34" w14:textId="7FEEDC5F" w:rsidR="00377AEA" w:rsidRDefault="00377AEA" w:rsidP="00AC18FB">
      <w:pPr>
        <w:pStyle w:val="Nomln"/>
        <w:spacing w:before="60"/>
        <w:ind w:firstLine="0"/>
        <w:rPr>
          <w:rFonts w:ascii="Arial" w:hAnsi="Arial" w:cs="Arial"/>
          <w:b/>
          <w:bCs/>
          <w:szCs w:val="24"/>
          <w:lang w:eastAsia="cs-CZ"/>
        </w:rPr>
      </w:pPr>
      <w:r w:rsidRPr="00377AEA">
        <w:rPr>
          <w:rFonts w:ascii="Arial" w:hAnsi="Arial" w:cs="Arial"/>
          <w:b/>
          <w:bCs/>
          <w:szCs w:val="24"/>
          <w:lang w:eastAsia="cs-CZ"/>
        </w:rPr>
        <w:t>26. dubna 10</w:t>
      </w:r>
    </w:p>
    <w:p w14:paraId="6F1C7884" w14:textId="481404E6" w:rsidR="00377AEA" w:rsidRDefault="00377AEA" w:rsidP="00AC18FB">
      <w:pPr>
        <w:pStyle w:val="Nomln"/>
        <w:spacing w:before="60"/>
        <w:ind w:firstLine="0"/>
        <w:rPr>
          <w:rFonts w:ascii="Arial" w:hAnsi="Arial" w:cs="Arial"/>
          <w:b/>
          <w:bCs/>
          <w:szCs w:val="24"/>
          <w:lang w:eastAsia="cs-CZ"/>
        </w:rPr>
      </w:pPr>
      <w:r w:rsidRPr="00377AEA">
        <w:rPr>
          <w:rFonts w:ascii="Arial" w:hAnsi="Arial" w:cs="Arial"/>
          <w:b/>
          <w:bCs/>
          <w:szCs w:val="24"/>
          <w:lang w:eastAsia="cs-CZ"/>
        </w:rPr>
        <w:t>350 02 Cheb</w:t>
      </w:r>
    </w:p>
    <w:p w14:paraId="3B341FF4" w14:textId="05513BA8" w:rsidR="00170DCE" w:rsidRDefault="006D6F7C" w:rsidP="00A02AAE">
      <w:pPr>
        <w:pStyle w:val="Nomln"/>
        <w:spacing w:before="60"/>
        <w:ind w:firstLine="0"/>
        <w:jc w:val="right"/>
        <w:rPr>
          <w:rFonts w:ascii="Arial" w:hAnsi="Arial" w:cs="Arial"/>
          <w:b/>
        </w:rPr>
      </w:pPr>
      <w:r>
        <w:rPr>
          <w:rFonts w:ascii="Arial" w:hAnsi="Arial" w:cs="Arial"/>
          <w:b/>
        </w:rPr>
        <w:t xml:space="preserve">V Praze, dne </w:t>
      </w:r>
      <w:r w:rsidR="00377AEA">
        <w:rPr>
          <w:rFonts w:ascii="Arial" w:hAnsi="Arial" w:cs="Arial"/>
          <w:b/>
        </w:rPr>
        <w:t>4.9.202</w:t>
      </w:r>
      <w:r w:rsidR="0042283A">
        <w:rPr>
          <w:rFonts w:ascii="Arial" w:hAnsi="Arial" w:cs="Arial"/>
          <w:b/>
        </w:rPr>
        <w:t>6</w:t>
      </w:r>
    </w:p>
    <w:p w14:paraId="67F4AC7E" w14:textId="77777777" w:rsidR="006D6F7C" w:rsidRDefault="006D6F7C" w:rsidP="00176560">
      <w:pPr>
        <w:autoSpaceDE w:val="0"/>
        <w:jc w:val="both"/>
        <w:rPr>
          <w:rFonts w:ascii="Arial" w:hAnsi="Arial" w:cs="Arial"/>
          <w:b/>
        </w:rPr>
      </w:pPr>
    </w:p>
    <w:p w14:paraId="308A59A2" w14:textId="460CE4B3" w:rsidR="00EC4C30" w:rsidRDefault="00170DCE" w:rsidP="00474992">
      <w:pPr>
        <w:autoSpaceDE w:val="0"/>
        <w:jc w:val="both"/>
        <w:rPr>
          <w:rFonts w:ascii="Arial" w:hAnsi="Arial" w:cs="Arial"/>
          <w:b/>
          <w:bCs/>
        </w:rPr>
      </w:pPr>
      <w:r>
        <w:rPr>
          <w:rFonts w:ascii="Arial" w:hAnsi="Arial" w:cs="Arial"/>
          <w:b/>
        </w:rPr>
        <w:t>Věc:</w:t>
      </w:r>
      <w:r>
        <w:rPr>
          <w:rFonts w:ascii="Arial" w:hAnsi="Arial" w:cs="Arial"/>
          <w:b/>
          <w:bCs/>
        </w:rPr>
        <w:t xml:space="preserve"> </w:t>
      </w:r>
      <w:r w:rsidR="00EC4C30" w:rsidRPr="00EC4C30">
        <w:rPr>
          <w:rFonts w:ascii="Arial" w:hAnsi="Arial" w:cs="Arial"/>
          <w:b/>
          <w:bCs/>
        </w:rPr>
        <w:t xml:space="preserve">Odpověď </w:t>
      </w:r>
      <w:r w:rsidR="00406B49">
        <w:rPr>
          <w:rFonts w:ascii="Arial" w:hAnsi="Arial" w:cs="Arial"/>
          <w:b/>
          <w:bCs/>
        </w:rPr>
        <w:t xml:space="preserve">na </w:t>
      </w:r>
      <w:r w:rsidR="00377AEA" w:rsidRPr="00377AEA">
        <w:rPr>
          <w:rFonts w:ascii="Arial" w:hAnsi="Arial" w:cs="Arial"/>
          <w:b/>
          <w:bCs/>
        </w:rPr>
        <w:t>Výzv</w:t>
      </w:r>
      <w:r w:rsidR="00377AEA">
        <w:rPr>
          <w:rFonts w:ascii="Arial" w:hAnsi="Arial" w:cs="Arial"/>
          <w:b/>
          <w:bCs/>
        </w:rPr>
        <w:t>u</w:t>
      </w:r>
      <w:r w:rsidR="00377AEA" w:rsidRPr="00377AEA">
        <w:rPr>
          <w:rFonts w:ascii="Arial" w:hAnsi="Arial" w:cs="Arial"/>
          <w:b/>
          <w:bCs/>
        </w:rPr>
        <w:t xml:space="preserve"> k řádnému plnění exekučního příkazu a upozornění na</w:t>
      </w:r>
      <w:r w:rsidR="0019414C">
        <w:rPr>
          <w:rFonts w:ascii="Arial" w:hAnsi="Arial" w:cs="Arial"/>
          <w:b/>
          <w:bCs/>
        </w:rPr>
        <w:t> </w:t>
      </w:r>
      <w:r w:rsidR="00377AEA" w:rsidRPr="00377AEA">
        <w:rPr>
          <w:rFonts w:ascii="Arial" w:hAnsi="Arial" w:cs="Arial"/>
          <w:b/>
          <w:bCs/>
        </w:rPr>
        <w:t xml:space="preserve">porušení </w:t>
      </w:r>
      <w:proofErr w:type="spellStart"/>
      <w:r w:rsidR="00377AEA" w:rsidRPr="00377AEA">
        <w:rPr>
          <w:rFonts w:ascii="Arial" w:hAnsi="Arial" w:cs="Arial"/>
          <w:b/>
          <w:bCs/>
        </w:rPr>
        <w:t>inhibitoria</w:t>
      </w:r>
      <w:proofErr w:type="spellEnd"/>
    </w:p>
    <w:p w14:paraId="1F28FD28" w14:textId="4342ACF2" w:rsidR="00DA1466" w:rsidRPr="00377AEA" w:rsidRDefault="000F19CE" w:rsidP="00176560">
      <w:pPr>
        <w:autoSpaceDE w:val="0"/>
        <w:jc w:val="both"/>
        <w:rPr>
          <w:rFonts w:ascii="Arial" w:hAnsi="Arial" w:cs="Arial"/>
          <w:b/>
          <w:bCs/>
        </w:rPr>
      </w:pPr>
      <w:r>
        <w:rPr>
          <w:rFonts w:ascii="Arial" w:hAnsi="Arial" w:cs="Arial"/>
          <w:b/>
        </w:rPr>
        <w:t>č</w:t>
      </w:r>
      <w:r w:rsidR="00A02AAE">
        <w:rPr>
          <w:rFonts w:ascii="Arial" w:hAnsi="Arial" w:cs="Arial"/>
          <w:b/>
        </w:rPr>
        <w:t>.</w:t>
      </w:r>
      <w:r>
        <w:rPr>
          <w:rFonts w:ascii="Arial" w:hAnsi="Arial" w:cs="Arial"/>
          <w:b/>
        </w:rPr>
        <w:t>j.:</w:t>
      </w:r>
      <w:r w:rsidRPr="000F19CE">
        <w:t xml:space="preserve"> </w:t>
      </w:r>
      <w:r w:rsidR="00377AEA" w:rsidRPr="00377AEA">
        <w:rPr>
          <w:rFonts w:ascii="Arial" w:hAnsi="Arial" w:cs="Arial"/>
          <w:b/>
          <w:bCs/>
        </w:rPr>
        <w:t>176 EX 00142/26-033</w:t>
      </w:r>
    </w:p>
    <w:p w14:paraId="501035B9" w14:textId="77777777" w:rsidR="00170DCE" w:rsidRDefault="00170DCE">
      <w:pPr>
        <w:pStyle w:val="Nomln"/>
        <w:spacing w:before="60"/>
        <w:ind w:firstLine="0"/>
        <w:jc w:val="both"/>
        <w:rPr>
          <w:rFonts w:ascii="Arial" w:hAnsi="Arial" w:cs="Arial"/>
        </w:rPr>
      </w:pPr>
    </w:p>
    <w:p w14:paraId="18E9D266" w14:textId="77777777" w:rsidR="00EC4C30" w:rsidRPr="005D78FF" w:rsidRDefault="00EC4C30" w:rsidP="00EC4C30">
      <w:pPr>
        <w:pStyle w:val="Nomln"/>
        <w:spacing w:before="0"/>
        <w:ind w:firstLine="0"/>
        <w:jc w:val="both"/>
        <w:rPr>
          <w:rFonts w:ascii="Arial" w:hAnsi="Arial" w:cs="Arial"/>
          <w:szCs w:val="24"/>
        </w:rPr>
      </w:pPr>
      <w:r w:rsidRPr="005D78FF">
        <w:rPr>
          <w:rFonts w:ascii="Arial" w:hAnsi="Arial" w:cs="Arial"/>
          <w:szCs w:val="24"/>
        </w:rPr>
        <w:t>Vážení,</w:t>
      </w:r>
    </w:p>
    <w:p w14:paraId="5D3964E0" w14:textId="77777777" w:rsidR="00EC4C30" w:rsidRPr="005D78FF" w:rsidRDefault="00EC4C30" w:rsidP="00EC4C30">
      <w:pPr>
        <w:pStyle w:val="Nomln"/>
        <w:spacing w:before="0"/>
        <w:ind w:firstLine="0"/>
        <w:jc w:val="both"/>
        <w:rPr>
          <w:rFonts w:ascii="Arial" w:hAnsi="Arial" w:cs="Arial"/>
          <w:szCs w:val="24"/>
        </w:rPr>
      </w:pPr>
    </w:p>
    <w:p w14:paraId="139E0FD2" w14:textId="7674F4C8" w:rsidR="00377AEA" w:rsidRPr="00377AEA" w:rsidRDefault="00377AEA" w:rsidP="00377AEA">
      <w:pPr>
        <w:tabs>
          <w:tab w:val="left" w:pos="0"/>
        </w:tabs>
        <w:spacing w:after="240" w:line="360" w:lineRule="auto"/>
        <w:jc w:val="both"/>
        <w:rPr>
          <w:rFonts w:ascii="Arial" w:eastAsia="Arial" w:hAnsi="Arial" w:cs="Arial"/>
        </w:rPr>
      </w:pPr>
      <w:r>
        <w:rPr>
          <w:rFonts w:ascii="Arial" w:eastAsia="Arial" w:hAnsi="Arial" w:cs="Arial"/>
        </w:rPr>
        <w:t>k</w:t>
      </w:r>
      <w:r w:rsidRPr="00377AEA">
        <w:rPr>
          <w:rFonts w:ascii="Arial" w:eastAsia="Arial" w:hAnsi="Arial" w:cs="Arial"/>
        </w:rPr>
        <w:t xml:space="preserve"> Vaší výzvě si Vám dovolujeme sdělit následující.</w:t>
      </w:r>
    </w:p>
    <w:p w14:paraId="31D1B04D" w14:textId="60B38D82" w:rsidR="00377AEA" w:rsidRPr="00377AEA" w:rsidRDefault="00377AEA" w:rsidP="00377AEA">
      <w:pPr>
        <w:tabs>
          <w:tab w:val="left" w:pos="0"/>
        </w:tabs>
        <w:spacing w:after="240" w:line="360" w:lineRule="auto"/>
        <w:jc w:val="both"/>
        <w:rPr>
          <w:rFonts w:ascii="Arial" w:eastAsia="Arial" w:hAnsi="Arial" w:cs="Arial"/>
        </w:rPr>
      </w:pPr>
      <w:r w:rsidRPr="00377AEA">
        <w:rPr>
          <w:rFonts w:ascii="Arial" w:eastAsia="Arial" w:hAnsi="Arial" w:cs="Arial"/>
        </w:rPr>
        <w:t>Fio banka, a.s., IČO 61858374, se sídlem Na Florenci 2139/2, Nové Město, 110 00 Praha 1, zapsaná v obchodním rejstříku vedeném Městským soudem v Praze pod</w:t>
      </w:r>
      <w:r>
        <w:rPr>
          <w:rFonts w:ascii="Arial" w:eastAsia="Arial" w:hAnsi="Arial" w:cs="Arial"/>
        </w:rPr>
        <w:t> </w:t>
      </w:r>
      <w:proofErr w:type="spellStart"/>
      <w:r w:rsidRPr="00377AEA">
        <w:rPr>
          <w:rFonts w:ascii="Arial" w:eastAsia="Arial" w:hAnsi="Arial" w:cs="Arial"/>
        </w:rPr>
        <w:t>sp</w:t>
      </w:r>
      <w:proofErr w:type="spellEnd"/>
      <w:r w:rsidRPr="00377AEA">
        <w:rPr>
          <w:rFonts w:ascii="Arial" w:eastAsia="Arial" w:hAnsi="Arial" w:cs="Arial"/>
        </w:rPr>
        <w:t>.</w:t>
      </w:r>
      <w:r>
        <w:rPr>
          <w:rFonts w:ascii="Arial" w:eastAsia="Arial" w:hAnsi="Arial" w:cs="Arial"/>
        </w:rPr>
        <w:t> </w:t>
      </w:r>
      <w:r w:rsidRPr="00377AEA">
        <w:rPr>
          <w:rFonts w:ascii="Arial" w:eastAsia="Arial" w:hAnsi="Arial" w:cs="Arial"/>
        </w:rPr>
        <w:t xml:space="preserve">zn. B 2704, podnikající v ČR (dále jen „CZ Fio banka“), pro Vámi označeného povinného Martin Zich, nar. 16.01.1979, IČ: 47938013, bytem Žilinská čp. 541 / </w:t>
      </w:r>
      <w:proofErr w:type="spellStart"/>
      <w:r w:rsidRPr="00377AEA">
        <w:rPr>
          <w:rFonts w:ascii="Arial" w:eastAsia="Arial" w:hAnsi="Arial" w:cs="Arial"/>
        </w:rPr>
        <w:t>čo</w:t>
      </w:r>
      <w:proofErr w:type="spellEnd"/>
      <w:r w:rsidRPr="00377AEA">
        <w:rPr>
          <w:rFonts w:ascii="Arial" w:eastAsia="Arial" w:hAnsi="Arial" w:cs="Arial"/>
        </w:rPr>
        <w:t>. 10, 914 01 přímo žádný účet, včetně účtu s označením 2300685282/2010, nezaložila ani nevede.</w:t>
      </w:r>
    </w:p>
    <w:p w14:paraId="5465389D" w14:textId="3F9684DA" w:rsidR="00377AEA" w:rsidRPr="00377AEA" w:rsidRDefault="00377AEA" w:rsidP="00377AEA">
      <w:pPr>
        <w:tabs>
          <w:tab w:val="left" w:pos="0"/>
        </w:tabs>
        <w:spacing w:after="240" w:line="360" w:lineRule="auto"/>
        <w:jc w:val="both"/>
        <w:rPr>
          <w:rFonts w:ascii="Arial" w:eastAsia="Arial" w:hAnsi="Arial" w:cs="Arial"/>
        </w:rPr>
      </w:pPr>
      <w:r w:rsidRPr="00377AEA">
        <w:rPr>
          <w:rFonts w:ascii="Arial" w:eastAsia="Arial" w:hAnsi="Arial" w:cs="Arial"/>
        </w:rPr>
        <w:t xml:space="preserve">Fio banka, a. s., pobočka </w:t>
      </w:r>
      <w:proofErr w:type="spellStart"/>
      <w:r w:rsidRPr="00377AEA">
        <w:rPr>
          <w:rFonts w:ascii="Arial" w:eastAsia="Arial" w:hAnsi="Arial" w:cs="Arial"/>
        </w:rPr>
        <w:t>zahraničnej</w:t>
      </w:r>
      <w:proofErr w:type="spellEnd"/>
      <w:r w:rsidRPr="00377AEA">
        <w:rPr>
          <w:rFonts w:ascii="Arial" w:eastAsia="Arial" w:hAnsi="Arial" w:cs="Arial"/>
        </w:rPr>
        <w:t xml:space="preserve"> banky, IČO 36 869 376, se sídlem Dunajská 1, 811 08 Bratislava, zapsaná v obchodním registru </w:t>
      </w:r>
      <w:proofErr w:type="spellStart"/>
      <w:r w:rsidRPr="00377AEA">
        <w:rPr>
          <w:rFonts w:ascii="Arial" w:eastAsia="Arial" w:hAnsi="Arial" w:cs="Arial"/>
        </w:rPr>
        <w:t>Mestského</w:t>
      </w:r>
      <w:proofErr w:type="spellEnd"/>
      <w:r w:rsidRPr="00377AEA">
        <w:rPr>
          <w:rFonts w:ascii="Arial" w:eastAsia="Arial" w:hAnsi="Arial" w:cs="Arial"/>
        </w:rPr>
        <w:t xml:space="preserve"> </w:t>
      </w:r>
      <w:proofErr w:type="spellStart"/>
      <w:r w:rsidRPr="00377AEA">
        <w:rPr>
          <w:rFonts w:ascii="Arial" w:eastAsia="Arial" w:hAnsi="Arial" w:cs="Arial"/>
        </w:rPr>
        <w:t>súdu</w:t>
      </w:r>
      <w:proofErr w:type="spellEnd"/>
      <w:r w:rsidRPr="00377AEA">
        <w:rPr>
          <w:rFonts w:ascii="Arial" w:eastAsia="Arial" w:hAnsi="Arial" w:cs="Arial"/>
        </w:rPr>
        <w:t xml:space="preserve"> Bratislava III, oddíl Po, vložka č. 1875/B (dále jen „SK pobočka“), resp. Fio banka při podnikání prostřednictvím této pobočky, je při své činnosti povinna postupovat v souladu se</w:t>
      </w:r>
      <w:r>
        <w:rPr>
          <w:rFonts w:ascii="Arial" w:eastAsia="Arial" w:hAnsi="Arial" w:cs="Arial"/>
        </w:rPr>
        <w:t> </w:t>
      </w:r>
      <w:r w:rsidRPr="00377AEA">
        <w:rPr>
          <w:rFonts w:ascii="Arial" w:eastAsia="Arial" w:hAnsi="Arial" w:cs="Arial"/>
        </w:rPr>
        <w:t>zákonem č. 483/2001 Z. z., o bankách, ve znění pozdějších předpisů, včetně ustanovení upravujících bankovní tajemství. Fio banka dlouhodobě zastává právní názor (který ani ze strany ČNB není odmítán), že CZ Fio banka proto není oprávněna poskytovat informace o konkrétních klientech SK pobočky, o jejich účtech či platebním styku ani potvrzovat či vyvracet, zda určitá osoba klientem SK pobočky je.</w:t>
      </w:r>
    </w:p>
    <w:p w14:paraId="4A39B32E" w14:textId="77777777" w:rsidR="00377AEA" w:rsidRPr="00377AEA" w:rsidRDefault="00377AEA" w:rsidP="00377AEA">
      <w:pPr>
        <w:tabs>
          <w:tab w:val="left" w:pos="0"/>
        </w:tabs>
        <w:spacing w:after="240" w:line="360" w:lineRule="auto"/>
        <w:jc w:val="both"/>
        <w:rPr>
          <w:rFonts w:ascii="Arial" w:eastAsia="Arial" w:hAnsi="Arial" w:cs="Arial"/>
        </w:rPr>
      </w:pPr>
      <w:r w:rsidRPr="00377AEA">
        <w:rPr>
          <w:rFonts w:ascii="Arial" w:eastAsia="Arial" w:hAnsi="Arial" w:cs="Arial"/>
        </w:rPr>
        <w:t>Pro posouzení Vámi předpokládaného poddlužnického vztahu je přitom podstatné odlišit jednotlivé právní vztahy vznikající při provádění platebního styku.</w:t>
      </w:r>
    </w:p>
    <w:p w14:paraId="229BC4E1" w14:textId="42EBF77B" w:rsidR="00377AEA" w:rsidRPr="00377AEA" w:rsidRDefault="00377AEA" w:rsidP="00377AEA">
      <w:pPr>
        <w:tabs>
          <w:tab w:val="left" w:pos="0"/>
        </w:tabs>
        <w:spacing w:after="240" w:line="360" w:lineRule="auto"/>
        <w:jc w:val="both"/>
        <w:rPr>
          <w:rFonts w:ascii="Arial" w:eastAsia="Arial" w:hAnsi="Arial" w:cs="Arial"/>
        </w:rPr>
      </w:pPr>
      <w:r w:rsidRPr="00377AEA">
        <w:rPr>
          <w:rFonts w:ascii="Arial" w:eastAsia="Arial" w:hAnsi="Arial" w:cs="Arial"/>
        </w:rPr>
        <w:lastRenderedPageBreak/>
        <w:t>V obecné rovině platí, že pokud je CZ Fio bance doručena platba směrovaná s využitím kódu banky 2010 na číslo účtu, které CZ Fio banka ve své evidenci nevede, je taková platba v rámci nastaveného mechanismu platebního styku předána SK pobočce za</w:t>
      </w:r>
      <w:r>
        <w:rPr>
          <w:rFonts w:ascii="Arial" w:eastAsia="Arial" w:hAnsi="Arial" w:cs="Arial"/>
        </w:rPr>
        <w:t> </w:t>
      </w:r>
      <w:r w:rsidRPr="00377AEA">
        <w:rPr>
          <w:rFonts w:ascii="Arial" w:eastAsia="Arial" w:hAnsi="Arial" w:cs="Arial"/>
        </w:rPr>
        <w:t>účelem ověření, zda cílový účet není veden jejím prostřednictvím. Není-li příslušný účet veden ani SK pobočkou, jsou peněžní prostředky vráceny zpět v platebním řetězci.</w:t>
      </w:r>
    </w:p>
    <w:p w14:paraId="4CDCA50F" w14:textId="77777777" w:rsidR="00377AEA" w:rsidRPr="00377AEA" w:rsidRDefault="00377AEA" w:rsidP="00377AEA">
      <w:pPr>
        <w:tabs>
          <w:tab w:val="left" w:pos="0"/>
        </w:tabs>
        <w:spacing w:after="240" w:line="360" w:lineRule="auto"/>
        <w:jc w:val="both"/>
        <w:rPr>
          <w:rFonts w:ascii="Arial" w:eastAsia="Arial" w:hAnsi="Arial" w:cs="Arial"/>
        </w:rPr>
      </w:pPr>
      <w:r w:rsidRPr="00377AEA">
        <w:rPr>
          <w:rFonts w:ascii="Arial" w:eastAsia="Arial" w:hAnsi="Arial" w:cs="Arial"/>
        </w:rPr>
        <w:t>Samotná skutečnost, že peněžní prostředky při provádění platební transakce v určité fázi tohoto procesu přijme CZ Fio banka, však neznamená, že by se CZ Fio banka stala dlužníkem zamýšleného příjemce platby. Je třeba důsledně rozlišovat mezi držením či převodem peněžních prostředků v rámci mezibankovního platebního styku na straně jedné a vznikem pohledávky příjemce vůči poskytovateli, který vede jeho platební účet, na straně druhé.</w:t>
      </w:r>
    </w:p>
    <w:p w14:paraId="47B50891" w14:textId="77777777" w:rsidR="00377AEA" w:rsidRPr="00377AEA" w:rsidRDefault="00377AEA" w:rsidP="00377AEA">
      <w:pPr>
        <w:tabs>
          <w:tab w:val="left" w:pos="0"/>
        </w:tabs>
        <w:spacing w:after="240" w:line="360" w:lineRule="auto"/>
        <w:jc w:val="both"/>
        <w:rPr>
          <w:rFonts w:ascii="Arial" w:eastAsia="Arial" w:hAnsi="Arial" w:cs="Arial"/>
        </w:rPr>
      </w:pPr>
      <w:r w:rsidRPr="00377AEA">
        <w:rPr>
          <w:rFonts w:ascii="Arial" w:eastAsia="Arial" w:hAnsi="Arial" w:cs="Arial"/>
        </w:rPr>
        <w:t>Postavení CZ Fio banky je v tomto ohledu svou podstatou srovnatelné s postavením banky vystupující jako zprostředkující či korespondenční banka při přeshraničním platebním styku. Také v takovém případě mohou být peněžní prostředky v průběhu realizace platební transakce připsány na účet korespondenční banky nebo se jinak dostat do její dispozice. Z této skutečnosti však bez dalšího nevzniká konečnému příjemci platby pohledávka vůči korespondenční bance. Korespondenční banka plní svůj závazek v rámci mezibankovního vztahu vůči jiné bance, nikoli závazek vůči konečnému příjemci platby. Právní vztah příjemce existuje zásadně vůči poskytovateli, který mu vede příslušný platební účet.</w:t>
      </w:r>
    </w:p>
    <w:p w14:paraId="07166D88" w14:textId="757276C0" w:rsidR="00377AEA" w:rsidRPr="00377AEA" w:rsidRDefault="00377AEA" w:rsidP="00377AEA">
      <w:pPr>
        <w:tabs>
          <w:tab w:val="left" w:pos="0"/>
        </w:tabs>
        <w:spacing w:after="240" w:line="360" w:lineRule="auto"/>
        <w:jc w:val="both"/>
        <w:rPr>
          <w:rFonts w:ascii="Arial" w:eastAsia="Arial" w:hAnsi="Arial" w:cs="Arial"/>
        </w:rPr>
      </w:pPr>
      <w:r w:rsidRPr="00377AEA">
        <w:rPr>
          <w:rFonts w:ascii="Arial" w:eastAsia="Arial" w:hAnsi="Arial" w:cs="Arial"/>
        </w:rPr>
        <w:t>Stejný princip je podle názoru CZ Fio banky nutno uplatnit i v posuzovaném případě. CZ Fio banka s případným majitelem účtu vedeného prostřednictvím SK pobočky neuzavřela smlouvu o vedení tohoto účtu a z titulu vedení takového účtu vůči němu nemá žádný závazek. Pouhé technické či mezibankovní přijetí a následné předání platby proto nemůže založit pohledávku majitele účtu vedeného prostřednictvím SK</w:t>
      </w:r>
      <w:r>
        <w:rPr>
          <w:rFonts w:ascii="Arial" w:eastAsia="Arial" w:hAnsi="Arial" w:cs="Arial"/>
        </w:rPr>
        <w:t> </w:t>
      </w:r>
      <w:r w:rsidRPr="00377AEA">
        <w:rPr>
          <w:rFonts w:ascii="Arial" w:eastAsia="Arial" w:hAnsi="Arial" w:cs="Arial"/>
        </w:rPr>
        <w:t>pobočky vůči CZ Fio bance. Pohledávka příjemce související s připsáním platby může vzniknout až v právním vztahu mezi příjemcem a poskytovatelem, který příslušný účet vede, tedy nejdříve v okamžiku, kdy jsou peněžní prostředky tomuto poskytovateli dány k dispozici za účelem jejich připsání na účet příjemce.</w:t>
      </w:r>
    </w:p>
    <w:p w14:paraId="0274BF7F" w14:textId="36B39271" w:rsidR="00377AEA" w:rsidRPr="00377AEA" w:rsidRDefault="00377AEA" w:rsidP="00377AEA">
      <w:pPr>
        <w:tabs>
          <w:tab w:val="left" w:pos="0"/>
        </w:tabs>
        <w:spacing w:after="240" w:line="360" w:lineRule="auto"/>
        <w:jc w:val="both"/>
        <w:rPr>
          <w:rFonts w:ascii="Arial" w:eastAsia="Arial" w:hAnsi="Arial" w:cs="Arial"/>
        </w:rPr>
      </w:pPr>
      <w:r w:rsidRPr="00377AEA">
        <w:rPr>
          <w:rFonts w:ascii="Arial" w:eastAsia="Arial" w:hAnsi="Arial" w:cs="Arial"/>
        </w:rPr>
        <w:lastRenderedPageBreak/>
        <w:t>Jiný závěr by vedl k neudržitelnému důsledku, že by se každá banka, přes jejíž dispozici peněžní prostředky v rámci platebního řetězce přechodně projdou, stávala dlužníkem konečného příjemce platby. Takový závěr neodpovídá povaze mezibankovního platebního styku ani oddělenosti jednotlivých závazkových vztahů mezi jeho účastníky. Stejně jako u korespondenčního bankovnictví nelze z pouhého toku peněžních prostředků dovozovat existenci přímého závazkového vztahu mezi</w:t>
      </w:r>
      <w:r w:rsidR="00854B0A">
        <w:rPr>
          <w:rFonts w:ascii="Arial" w:eastAsia="Arial" w:hAnsi="Arial" w:cs="Arial"/>
        </w:rPr>
        <w:t> </w:t>
      </w:r>
      <w:r w:rsidRPr="00377AEA">
        <w:rPr>
          <w:rFonts w:ascii="Arial" w:eastAsia="Arial" w:hAnsi="Arial" w:cs="Arial"/>
        </w:rPr>
        <w:t>zprostředkující bankou a konečným příjemcem.</w:t>
      </w:r>
    </w:p>
    <w:p w14:paraId="53E30A62" w14:textId="77777777" w:rsidR="00377AEA" w:rsidRPr="00377AEA" w:rsidRDefault="00377AEA" w:rsidP="00377AEA">
      <w:pPr>
        <w:tabs>
          <w:tab w:val="left" w:pos="0"/>
        </w:tabs>
        <w:spacing w:after="240" w:line="360" w:lineRule="auto"/>
        <w:jc w:val="both"/>
        <w:rPr>
          <w:rFonts w:ascii="Arial" w:eastAsia="Arial" w:hAnsi="Arial" w:cs="Arial"/>
        </w:rPr>
      </w:pPr>
      <w:r w:rsidRPr="00377AEA">
        <w:rPr>
          <w:rFonts w:ascii="Arial" w:eastAsia="Arial" w:hAnsi="Arial" w:cs="Arial"/>
        </w:rPr>
        <w:t>Tomu odpovídá rovněž skutečnost, že CZ Fio banka pro zajištění popsaného mechanismu platebního styku nemusí znát a ani znát nepotřebuje identifikační údaje případného majitele účtu vedeného prostřednictvím SK pobočky. Jejím úkolem v dané fázi platebního řetězce není posuzovat osobu konečného příjemce, nýbrž zajistit další směrování platby k poskytovateli, který případně vede cílový účet.</w:t>
      </w:r>
    </w:p>
    <w:p w14:paraId="481221A1" w14:textId="6009ED5B" w:rsidR="00377AEA" w:rsidRPr="00377AEA" w:rsidRDefault="00377AEA" w:rsidP="00377AEA">
      <w:pPr>
        <w:tabs>
          <w:tab w:val="left" w:pos="0"/>
        </w:tabs>
        <w:spacing w:after="240" w:line="360" w:lineRule="auto"/>
        <w:jc w:val="both"/>
        <w:rPr>
          <w:rFonts w:ascii="Arial" w:eastAsia="Arial" w:hAnsi="Arial" w:cs="Arial"/>
        </w:rPr>
      </w:pPr>
      <w:r w:rsidRPr="00377AEA">
        <w:rPr>
          <w:rFonts w:ascii="Arial" w:eastAsia="Arial" w:hAnsi="Arial" w:cs="Arial"/>
        </w:rPr>
        <w:t>Za této situace tedy nelze pouze ze skutečnosti, že platba byla směrována s využitím kódu banky 2010 a v určité fázi platebního procesu se dostala do dispozice CZ</w:t>
      </w:r>
      <w:r>
        <w:rPr>
          <w:rFonts w:ascii="Arial" w:eastAsia="Arial" w:hAnsi="Arial" w:cs="Arial"/>
        </w:rPr>
        <w:t> </w:t>
      </w:r>
      <w:r w:rsidRPr="00377AEA">
        <w:rPr>
          <w:rFonts w:ascii="Arial" w:eastAsia="Arial" w:hAnsi="Arial" w:cs="Arial"/>
        </w:rPr>
        <w:t>Fio</w:t>
      </w:r>
      <w:r>
        <w:rPr>
          <w:rFonts w:ascii="Arial" w:eastAsia="Arial" w:hAnsi="Arial" w:cs="Arial"/>
        </w:rPr>
        <w:t> </w:t>
      </w:r>
      <w:r w:rsidRPr="00377AEA">
        <w:rPr>
          <w:rFonts w:ascii="Arial" w:eastAsia="Arial" w:hAnsi="Arial" w:cs="Arial"/>
        </w:rPr>
        <w:t>banky, dovozovat existenci pohledávky povinného vůči CZ Fio bance. Pro</w:t>
      </w:r>
      <w:r>
        <w:rPr>
          <w:rFonts w:ascii="Arial" w:eastAsia="Arial" w:hAnsi="Arial" w:cs="Arial"/>
        </w:rPr>
        <w:t> </w:t>
      </w:r>
      <w:r w:rsidRPr="00377AEA">
        <w:rPr>
          <w:rFonts w:ascii="Arial" w:eastAsia="Arial" w:hAnsi="Arial" w:cs="Arial"/>
        </w:rPr>
        <w:t>existenci poddlužnického vztahu je rozhodující existence konkrétního závazku CZ</w:t>
      </w:r>
      <w:r>
        <w:rPr>
          <w:rFonts w:ascii="Arial" w:eastAsia="Arial" w:hAnsi="Arial" w:cs="Arial"/>
        </w:rPr>
        <w:t> </w:t>
      </w:r>
      <w:r w:rsidRPr="00377AEA">
        <w:rPr>
          <w:rFonts w:ascii="Arial" w:eastAsia="Arial" w:hAnsi="Arial" w:cs="Arial"/>
        </w:rPr>
        <w:t>Fio banky vůči povinnému, nikoli pouhá skutečnost, že CZ Fio banka vystupuje jako mezičlánek při směrování platebních prostředků. Takový závazek CZ Fio banky vůči majiteli účtu vedeného prostřednictvím SK pobočky z popsaného mechanismu nevzniká.</w:t>
      </w:r>
    </w:p>
    <w:p w14:paraId="12CE0A7E" w14:textId="4C36C56D" w:rsidR="00D87884" w:rsidRPr="00377AEA" w:rsidRDefault="00377AEA" w:rsidP="00377AEA">
      <w:pPr>
        <w:tabs>
          <w:tab w:val="left" w:pos="0"/>
        </w:tabs>
        <w:spacing w:after="240" w:line="360" w:lineRule="auto"/>
        <w:jc w:val="both"/>
        <w:rPr>
          <w:rFonts w:ascii="Arial" w:eastAsia="Arial" w:hAnsi="Arial" w:cs="Arial"/>
        </w:rPr>
      </w:pPr>
      <w:r w:rsidRPr="00377AEA">
        <w:rPr>
          <w:rFonts w:ascii="Arial" w:eastAsia="Arial" w:hAnsi="Arial" w:cs="Arial"/>
        </w:rPr>
        <w:t>S ohledem na výše uvedené proto podle našeho názoru nelze po CZ Fio bance oprávněně požadovat ani ověření Vámi předpokládaného poddlužnického vztahu ve</w:t>
      </w:r>
      <w:r w:rsidR="00854B0A">
        <w:rPr>
          <w:rFonts w:ascii="Arial" w:eastAsia="Arial" w:hAnsi="Arial" w:cs="Arial"/>
        </w:rPr>
        <w:t> </w:t>
      </w:r>
      <w:r w:rsidRPr="00377AEA">
        <w:rPr>
          <w:rFonts w:ascii="Arial" w:eastAsia="Arial" w:hAnsi="Arial" w:cs="Arial"/>
        </w:rPr>
        <w:t>vztahu k účtu, který CZ Fio banka nevede. CZ Fio banka může ve vztahu k Vámi označenému povinnému potvrdit pouze skutečnosti týkající se případných závazků CZ</w:t>
      </w:r>
      <w:r w:rsidR="00854B0A">
        <w:rPr>
          <w:rFonts w:ascii="Arial" w:eastAsia="Arial" w:hAnsi="Arial" w:cs="Arial"/>
        </w:rPr>
        <w:t> </w:t>
      </w:r>
      <w:r w:rsidRPr="00377AEA">
        <w:rPr>
          <w:rFonts w:ascii="Arial" w:eastAsia="Arial" w:hAnsi="Arial" w:cs="Arial"/>
        </w:rPr>
        <w:t>Fio banky vůči tomuto povinnému; nemůže poskytovat informace podléhající režimu bankovního tajemství vztahujícímu se k činnosti SK pobočky.</w:t>
      </w:r>
    </w:p>
    <w:p w14:paraId="05752F29" w14:textId="6C19FEDF" w:rsidR="00EC4C30" w:rsidRDefault="00EC4C30" w:rsidP="00EC4C30">
      <w:pPr>
        <w:pStyle w:val="Nomln"/>
        <w:spacing w:before="0"/>
        <w:ind w:firstLine="0"/>
        <w:jc w:val="both"/>
        <w:rPr>
          <w:rFonts w:ascii="Arial" w:hAnsi="Arial" w:cs="Arial"/>
        </w:rPr>
      </w:pPr>
      <w:r>
        <w:rPr>
          <w:rFonts w:ascii="Arial" w:hAnsi="Arial" w:cs="Arial"/>
        </w:rPr>
        <w:t>S </w:t>
      </w:r>
      <w:r w:rsidR="00406B49">
        <w:rPr>
          <w:rFonts w:ascii="Arial" w:hAnsi="Arial" w:cs="Arial"/>
        </w:rPr>
        <w:t>úctou</w:t>
      </w:r>
    </w:p>
    <w:p w14:paraId="7B9EF1E3" w14:textId="77777777" w:rsidR="00170DCE" w:rsidRDefault="00170DCE">
      <w:pPr>
        <w:pStyle w:val="Nomln"/>
        <w:spacing w:before="0"/>
        <w:ind w:firstLine="0"/>
        <w:jc w:val="both"/>
        <w:rPr>
          <w:rFonts w:ascii="Arial" w:hAnsi="Arial" w:cs="Arial"/>
        </w:rPr>
      </w:pPr>
    </w:p>
    <w:p w14:paraId="1BB281EF" w14:textId="77777777" w:rsidR="00170DCE" w:rsidRDefault="00170DCE" w:rsidP="009869C5">
      <w:pPr>
        <w:pStyle w:val="Nomln"/>
        <w:tabs>
          <w:tab w:val="center" w:pos="6521"/>
        </w:tabs>
        <w:spacing w:before="0"/>
        <w:ind w:left="5760" w:firstLine="720"/>
        <w:jc w:val="center"/>
        <w:rPr>
          <w:rFonts w:ascii="Arial" w:hAnsi="Arial" w:cs="Arial"/>
        </w:rPr>
      </w:pPr>
    </w:p>
    <w:p w14:paraId="2A2F7A07" w14:textId="77777777" w:rsidR="00F44442" w:rsidRDefault="00EC4C30" w:rsidP="009869C5">
      <w:pPr>
        <w:pStyle w:val="Nomln"/>
        <w:tabs>
          <w:tab w:val="center" w:pos="6521"/>
        </w:tabs>
        <w:spacing w:before="0"/>
        <w:ind w:left="5670" w:firstLine="0"/>
        <w:jc w:val="center"/>
        <w:rPr>
          <w:rFonts w:ascii="Arial" w:hAnsi="Arial" w:cs="Arial"/>
        </w:rPr>
      </w:pPr>
      <w:r>
        <w:rPr>
          <w:rFonts w:ascii="Arial" w:hAnsi="Arial" w:cs="Arial"/>
        </w:rPr>
        <w:t>Kristýna Nováková</w:t>
      </w:r>
    </w:p>
    <w:p w14:paraId="7A692DF7" w14:textId="77777777" w:rsidR="00170DCE" w:rsidRDefault="00FF2906" w:rsidP="009869C5">
      <w:pPr>
        <w:pStyle w:val="Nomln"/>
        <w:tabs>
          <w:tab w:val="center" w:pos="6521"/>
        </w:tabs>
        <w:spacing w:before="0"/>
        <w:ind w:left="5670" w:firstLine="0"/>
        <w:jc w:val="center"/>
        <w:rPr>
          <w:rFonts w:ascii="Arial" w:eastAsia="Arial" w:hAnsi="Arial" w:cs="Arial"/>
        </w:rPr>
      </w:pPr>
      <w:r>
        <w:rPr>
          <w:rFonts w:ascii="Arial" w:hAnsi="Arial" w:cs="Arial"/>
        </w:rPr>
        <w:t xml:space="preserve">Administrativa </w:t>
      </w:r>
      <w:r w:rsidR="00F44442">
        <w:rPr>
          <w:rFonts w:ascii="Arial" w:hAnsi="Arial" w:cs="Arial"/>
        </w:rPr>
        <w:t>KD</w:t>
      </w:r>
      <w:r w:rsidR="004D3D92">
        <w:rPr>
          <w:rFonts w:ascii="Arial" w:hAnsi="Arial" w:cs="Arial"/>
        </w:rPr>
        <w:t xml:space="preserve"> </w:t>
      </w:r>
      <w:r w:rsidR="00F44442">
        <w:rPr>
          <w:rFonts w:ascii="Arial" w:hAnsi="Arial" w:cs="Arial"/>
        </w:rPr>
        <w:br/>
        <w:t>Fio banka, a.s.</w:t>
      </w:r>
    </w:p>
    <w:sectPr w:rsidR="00170DCE">
      <w:footerReference w:type="default" r:id="rId8"/>
      <w:pgSz w:w="11906" w:h="16838"/>
      <w:pgMar w:top="1417" w:right="1417" w:bottom="1417" w:left="1417" w:header="708" w:footer="3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B6A0A" w14:textId="77777777" w:rsidR="008A6C6B" w:rsidRDefault="008A6C6B">
      <w:r>
        <w:separator/>
      </w:r>
    </w:p>
  </w:endnote>
  <w:endnote w:type="continuationSeparator" w:id="0">
    <w:p w14:paraId="4766B35E" w14:textId="77777777" w:rsidR="008A6C6B" w:rsidRDefault="008A6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eeSans">
    <w:altName w:val="Arial"/>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04E3" w14:textId="7CCE23DD" w:rsidR="00170DCE" w:rsidRDefault="00170DCE">
    <w:pPr>
      <w:pStyle w:val="Zpat"/>
      <w:jc w:val="both"/>
      <w:rPr>
        <w:rFonts w:ascii="Arial" w:hAnsi="Arial" w:cs="Arial"/>
        <w:bCs/>
        <w:iCs/>
        <w:sz w:val="16"/>
        <w:szCs w:val="20"/>
      </w:rPr>
    </w:pPr>
    <w:r>
      <w:rPr>
        <w:rFonts w:ascii="Arial" w:hAnsi="Arial" w:cs="Arial"/>
        <w:bCs/>
        <w:iCs/>
        <w:sz w:val="16"/>
        <w:szCs w:val="20"/>
      </w:rPr>
      <w:t xml:space="preserve">Fio banka, a.s., IČ: 61858374, </w:t>
    </w:r>
    <w:r w:rsidR="00406B49" w:rsidRPr="00406B49">
      <w:rPr>
        <w:rFonts w:ascii="Arial" w:hAnsi="Arial" w:cs="Arial"/>
        <w:bCs/>
        <w:iCs/>
        <w:sz w:val="16"/>
        <w:szCs w:val="20"/>
      </w:rPr>
      <w:t>Na Florenci 2139/2</w:t>
    </w:r>
    <w:r>
      <w:rPr>
        <w:rFonts w:ascii="Arial" w:hAnsi="Arial" w:cs="Arial"/>
        <w:bCs/>
        <w:iCs/>
        <w:sz w:val="16"/>
        <w:szCs w:val="20"/>
      </w:rPr>
      <w:t>, 11</w:t>
    </w:r>
    <w:r w:rsidR="00406B49">
      <w:rPr>
        <w:rFonts w:ascii="Arial" w:hAnsi="Arial" w:cs="Arial"/>
        <w:bCs/>
        <w:iCs/>
        <w:sz w:val="16"/>
        <w:szCs w:val="20"/>
      </w:rPr>
      <w:t>0 00</w:t>
    </w:r>
    <w:r>
      <w:rPr>
        <w:rFonts w:ascii="Arial" w:hAnsi="Arial" w:cs="Arial"/>
        <w:bCs/>
        <w:iCs/>
        <w:sz w:val="16"/>
        <w:szCs w:val="20"/>
      </w:rPr>
      <w:t xml:space="preserve"> Praha 1, ČR, zapsaná v OR vedeném Městským soudem v Praze, oddíl B, vložka 2704, tel.: +420 224 346 111, fax: +420 224 346 110, http://www.fio.cz</w:t>
    </w:r>
  </w:p>
  <w:p w14:paraId="15C77107" w14:textId="77777777" w:rsidR="00170DCE" w:rsidRDefault="00170DCE">
    <w:pPr>
      <w:pStyle w:val="Zpat"/>
      <w:rPr>
        <w:rFonts w:ascii="Arial" w:hAnsi="Arial" w:cs="Arial"/>
        <w:bCs/>
        <w:iCs/>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13934" w14:textId="77777777" w:rsidR="008A6C6B" w:rsidRDefault="008A6C6B">
      <w:r>
        <w:separator/>
      </w:r>
    </w:p>
  </w:footnote>
  <w:footnote w:type="continuationSeparator" w:id="0">
    <w:p w14:paraId="5E8F1BF0" w14:textId="77777777" w:rsidR="008A6C6B" w:rsidRDefault="008A6C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D92"/>
    <w:rsid w:val="000235F0"/>
    <w:rsid w:val="00087A88"/>
    <w:rsid w:val="00090205"/>
    <w:rsid w:val="000923A1"/>
    <w:rsid w:val="000F19CE"/>
    <w:rsid w:val="000F4155"/>
    <w:rsid w:val="00115575"/>
    <w:rsid w:val="00170DCE"/>
    <w:rsid w:val="00176560"/>
    <w:rsid w:val="00180F09"/>
    <w:rsid w:val="0019414C"/>
    <w:rsid w:val="001E074A"/>
    <w:rsid w:val="00222457"/>
    <w:rsid w:val="0024580E"/>
    <w:rsid w:val="00272DC5"/>
    <w:rsid w:val="0029762A"/>
    <w:rsid w:val="0029769A"/>
    <w:rsid w:val="00302D41"/>
    <w:rsid w:val="00313554"/>
    <w:rsid w:val="00322A3C"/>
    <w:rsid w:val="00330B20"/>
    <w:rsid w:val="00352156"/>
    <w:rsid w:val="00377AEA"/>
    <w:rsid w:val="0038413D"/>
    <w:rsid w:val="003D30FD"/>
    <w:rsid w:val="003E0D20"/>
    <w:rsid w:val="003E76E2"/>
    <w:rsid w:val="00406B49"/>
    <w:rsid w:val="0042283A"/>
    <w:rsid w:val="0045358D"/>
    <w:rsid w:val="00474992"/>
    <w:rsid w:val="004D3D92"/>
    <w:rsid w:val="0051134F"/>
    <w:rsid w:val="005C44F7"/>
    <w:rsid w:val="005C62B7"/>
    <w:rsid w:val="006306C3"/>
    <w:rsid w:val="00641136"/>
    <w:rsid w:val="006D6F7C"/>
    <w:rsid w:val="006F3F09"/>
    <w:rsid w:val="00705D2F"/>
    <w:rsid w:val="0071590F"/>
    <w:rsid w:val="00755A34"/>
    <w:rsid w:val="00770F52"/>
    <w:rsid w:val="007A334A"/>
    <w:rsid w:val="007B69D1"/>
    <w:rsid w:val="007C5256"/>
    <w:rsid w:val="00821913"/>
    <w:rsid w:val="00854B0A"/>
    <w:rsid w:val="00862851"/>
    <w:rsid w:val="00876D21"/>
    <w:rsid w:val="008A6C6B"/>
    <w:rsid w:val="008C7B84"/>
    <w:rsid w:val="008D6FF6"/>
    <w:rsid w:val="00902D3B"/>
    <w:rsid w:val="0090304E"/>
    <w:rsid w:val="00935FDD"/>
    <w:rsid w:val="009813EE"/>
    <w:rsid w:val="00983736"/>
    <w:rsid w:val="009869C5"/>
    <w:rsid w:val="00A02AAE"/>
    <w:rsid w:val="00A05F72"/>
    <w:rsid w:val="00A24136"/>
    <w:rsid w:val="00A35E85"/>
    <w:rsid w:val="00A5400E"/>
    <w:rsid w:val="00A557F7"/>
    <w:rsid w:val="00A623B6"/>
    <w:rsid w:val="00A62E9B"/>
    <w:rsid w:val="00A80877"/>
    <w:rsid w:val="00A941C4"/>
    <w:rsid w:val="00AA730A"/>
    <w:rsid w:val="00AC18FB"/>
    <w:rsid w:val="00AC1F93"/>
    <w:rsid w:val="00B47F3B"/>
    <w:rsid w:val="00B77B2D"/>
    <w:rsid w:val="00BD5307"/>
    <w:rsid w:val="00BF30D5"/>
    <w:rsid w:val="00C228FF"/>
    <w:rsid w:val="00C63060"/>
    <w:rsid w:val="00C900D9"/>
    <w:rsid w:val="00CB5FEA"/>
    <w:rsid w:val="00CD78F9"/>
    <w:rsid w:val="00D40A35"/>
    <w:rsid w:val="00D54A64"/>
    <w:rsid w:val="00D63463"/>
    <w:rsid w:val="00D63D17"/>
    <w:rsid w:val="00D87884"/>
    <w:rsid w:val="00DA1466"/>
    <w:rsid w:val="00DD11C1"/>
    <w:rsid w:val="00DE655A"/>
    <w:rsid w:val="00E156CA"/>
    <w:rsid w:val="00EC4C30"/>
    <w:rsid w:val="00F044B4"/>
    <w:rsid w:val="00F40927"/>
    <w:rsid w:val="00F44442"/>
    <w:rsid w:val="00F643D4"/>
    <w:rsid w:val="00FC59EE"/>
    <w:rsid w:val="00FF29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48EB3131"/>
  <w15:chartTrackingRefBased/>
  <w15:docId w15:val="{08F84E71-E299-481A-80B9-14C799990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3">
    <w:name w:val="Standardní písmo odstavce3"/>
  </w:style>
  <w:style w:type="character" w:customStyle="1" w:styleId="Standardnpsmoodstavce2">
    <w:name w:val="Standardní písmo odstavce2"/>
  </w:style>
  <w:style w:type="character" w:customStyle="1" w:styleId="Standardnpsmoodstavce1">
    <w:name w:val="Standardní písmo odstavce1"/>
  </w:style>
  <w:style w:type="character" w:customStyle="1" w:styleId="TextbublinyChar">
    <w:name w:val="Text bubliny Char"/>
    <w:rPr>
      <w:rFonts w:ascii="Tahoma" w:hAnsi="Tahoma" w:cs="Tahoma"/>
      <w:sz w:val="16"/>
      <w:szCs w:val="16"/>
    </w:rPr>
  </w:style>
  <w:style w:type="character" w:customStyle="1" w:styleId="ZhlavChar">
    <w:name w:val="Záhlaví Char"/>
    <w:rPr>
      <w:rFonts w:cs="Times New Roman"/>
      <w:sz w:val="24"/>
      <w:szCs w:val="24"/>
    </w:rPr>
  </w:style>
  <w:style w:type="character" w:customStyle="1" w:styleId="ZpatChar">
    <w:name w:val="Zápatí Char"/>
    <w:rPr>
      <w:rFonts w:cs="Times New Roman"/>
      <w:sz w:val="24"/>
      <w:szCs w:val="24"/>
    </w:rPr>
  </w:style>
  <w:style w:type="character" w:customStyle="1" w:styleId="NzevChar">
    <w:name w:val="Název Char"/>
    <w:rPr>
      <w:rFonts w:ascii="Cambria" w:eastAsia="Times New Roman" w:hAnsi="Cambria" w:cs="Times New Roman"/>
      <w:b/>
      <w:bCs/>
      <w:kern w:val="1"/>
      <w:sz w:val="32"/>
      <w:szCs w:val="32"/>
    </w:rPr>
  </w:style>
  <w:style w:type="character" w:customStyle="1" w:styleId="PodtitulChar">
    <w:name w:val="Podtitul Char"/>
    <w:rPr>
      <w:rFonts w:ascii="Cambria" w:eastAsia="Times New Roman" w:hAnsi="Cambria" w:cs="Times New Roman"/>
      <w:sz w:val="24"/>
      <w:szCs w:val="24"/>
    </w:rPr>
  </w:style>
  <w:style w:type="character" w:customStyle="1" w:styleId="Fio-textChar">
    <w:name w:val="Fio - text Char"/>
    <w:rPr>
      <w:rFonts w:ascii="Arial" w:hAnsi="Arial" w:cs="Arial"/>
      <w:sz w:val="20"/>
      <w:lang w:val="x-none" w:bidi="ar-SA"/>
    </w:rPr>
  </w:style>
  <w:style w:type="character" w:styleId="Siln">
    <w:name w:val="Strong"/>
    <w:qFormat/>
    <w:rPr>
      <w:rFonts w:cs="Times New Roman"/>
      <w:b/>
    </w:rPr>
  </w:style>
  <w:style w:type="paragraph" w:customStyle="1" w:styleId="Nadpis">
    <w:name w:val="Nadpis"/>
    <w:basedOn w:val="Normln"/>
    <w:next w:val="Podnadpis"/>
    <w:pPr>
      <w:widowControl w:val="0"/>
      <w:autoSpaceDE w:val="0"/>
      <w:jc w:val="center"/>
    </w:pPr>
    <w:rPr>
      <w:b/>
      <w:bCs/>
      <w:sz w:val="30"/>
      <w:szCs w:val="30"/>
    </w:rPr>
  </w:style>
  <w:style w:type="paragraph" w:styleId="Zkladntext">
    <w:name w:val="Body Text"/>
    <w:basedOn w:val="Normln"/>
    <w:pPr>
      <w:spacing w:after="140" w:line="288" w:lineRule="auto"/>
    </w:pPr>
  </w:style>
  <w:style w:type="paragraph" w:styleId="Seznam">
    <w:name w:val="List"/>
    <w:basedOn w:val="Zkladntext"/>
    <w:rPr>
      <w:rFonts w:ascii="Arial" w:hAnsi="Arial" w:cs="FreeSans"/>
    </w:rPr>
  </w:style>
  <w:style w:type="paragraph" w:styleId="Titulek">
    <w:name w:val="caption"/>
    <w:basedOn w:val="Normln"/>
    <w:qFormat/>
    <w:pPr>
      <w:suppressLineNumbers/>
      <w:spacing w:before="120" w:after="120"/>
    </w:pPr>
    <w:rPr>
      <w:rFonts w:ascii="Arial" w:hAnsi="Arial" w:cs="FreeSans"/>
      <w:i/>
      <w:iCs/>
      <w:sz w:val="18"/>
    </w:rPr>
  </w:style>
  <w:style w:type="paragraph" w:customStyle="1" w:styleId="Rejstk">
    <w:name w:val="Rejstřík"/>
    <w:basedOn w:val="Normln"/>
    <w:pPr>
      <w:suppressLineNumbers/>
    </w:pPr>
    <w:rPr>
      <w:rFonts w:ascii="Arial" w:hAnsi="Arial" w:cs="FreeSans"/>
    </w:rPr>
  </w:style>
  <w:style w:type="paragraph" w:customStyle="1" w:styleId="Titulek2">
    <w:name w:val="Titulek2"/>
    <w:basedOn w:val="Normln"/>
    <w:pPr>
      <w:suppressLineNumbers/>
      <w:spacing w:before="120" w:after="120"/>
    </w:pPr>
    <w:rPr>
      <w:rFonts w:ascii="Arial" w:hAnsi="Arial" w:cs="FreeSans"/>
      <w:i/>
      <w:iCs/>
      <w:sz w:val="18"/>
    </w:rPr>
  </w:style>
  <w:style w:type="paragraph" w:customStyle="1" w:styleId="Titulek1">
    <w:name w:val="Titulek1"/>
    <w:basedOn w:val="Normln"/>
    <w:pPr>
      <w:suppressLineNumbers/>
      <w:spacing w:before="120" w:after="120"/>
    </w:pPr>
    <w:rPr>
      <w:rFonts w:ascii="Arial" w:hAnsi="Arial" w:cs="FreeSans"/>
      <w:i/>
      <w:iCs/>
      <w:sz w:val="18"/>
    </w:rPr>
  </w:style>
  <w:style w:type="paragraph" w:styleId="Textbubliny">
    <w:name w:val="Balloon Text"/>
    <w:basedOn w:val="Normln"/>
    <w:rPr>
      <w:rFonts w:ascii="Tahoma" w:hAnsi="Tahoma" w:cs="Tahoma"/>
      <w:sz w:val="16"/>
      <w:szCs w:val="16"/>
    </w:rPr>
  </w:style>
  <w:style w:type="paragraph" w:styleId="Zhlav">
    <w:name w:val="header"/>
    <w:basedOn w:val="Normln"/>
    <w:pPr>
      <w:tabs>
        <w:tab w:val="center" w:pos="4536"/>
        <w:tab w:val="right" w:pos="9072"/>
      </w:tabs>
    </w:pPr>
    <w:rPr>
      <w:sz w:val="20"/>
      <w:szCs w:val="20"/>
    </w:rPr>
  </w:style>
  <w:style w:type="paragraph" w:customStyle="1" w:styleId="Nomln">
    <w:name w:val="Nomální"/>
    <w:basedOn w:val="Normln"/>
    <w:pPr>
      <w:spacing w:before="120"/>
      <w:ind w:firstLine="851"/>
    </w:pPr>
    <w:rPr>
      <w:szCs w:val="20"/>
    </w:rPr>
  </w:style>
  <w:style w:type="paragraph" w:styleId="Zpat">
    <w:name w:val="footer"/>
    <w:basedOn w:val="Normln"/>
    <w:pPr>
      <w:tabs>
        <w:tab w:val="center" w:pos="4536"/>
        <w:tab w:val="right" w:pos="9072"/>
      </w:tabs>
    </w:pPr>
  </w:style>
  <w:style w:type="paragraph" w:customStyle="1" w:styleId="Bod">
    <w:name w:val="Bod"/>
    <w:basedOn w:val="Normln"/>
    <w:pPr>
      <w:widowControl w:val="0"/>
      <w:autoSpaceDE w:val="0"/>
      <w:jc w:val="both"/>
    </w:pPr>
    <w:rPr>
      <w:sz w:val="18"/>
      <w:szCs w:val="18"/>
    </w:rPr>
  </w:style>
  <w:style w:type="paragraph" w:customStyle="1" w:styleId="Clanek">
    <w:name w:val="Clanek"/>
    <w:basedOn w:val="Normln"/>
    <w:pPr>
      <w:widowControl w:val="0"/>
      <w:autoSpaceDE w:val="0"/>
      <w:spacing w:before="60" w:after="40"/>
      <w:jc w:val="center"/>
    </w:pPr>
    <w:rPr>
      <w:b/>
      <w:bCs/>
      <w:sz w:val="18"/>
      <w:szCs w:val="18"/>
    </w:rPr>
  </w:style>
  <w:style w:type="paragraph" w:customStyle="1" w:styleId="H5">
    <w:name w:val="H5"/>
    <w:basedOn w:val="Normln"/>
    <w:next w:val="Normln"/>
    <w:pPr>
      <w:keepNext/>
      <w:widowControl w:val="0"/>
      <w:autoSpaceDE w:val="0"/>
      <w:spacing w:before="100" w:after="100"/>
    </w:pPr>
    <w:rPr>
      <w:b/>
      <w:bCs/>
      <w:sz w:val="20"/>
      <w:szCs w:val="20"/>
      <w:lang w:val="en-AU"/>
    </w:rPr>
  </w:style>
  <w:style w:type="paragraph" w:customStyle="1" w:styleId="tecky">
    <w:name w:val="tecky"/>
    <w:basedOn w:val="Normln"/>
    <w:pPr>
      <w:tabs>
        <w:tab w:val="right" w:leader="dot" w:pos="2264"/>
        <w:tab w:val="left" w:pos="2552"/>
        <w:tab w:val="right" w:leader="dot" w:pos="5103"/>
        <w:tab w:val="left" w:pos="5387"/>
        <w:tab w:val="right" w:leader="dot" w:pos="7938"/>
      </w:tabs>
      <w:spacing w:before="120" w:after="120"/>
    </w:pPr>
    <w:rPr>
      <w:sz w:val="20"/>
      <w:szCs w:val="20"/>
    </w:rPr>
  </w:style>
  <w:style w:type="paragraph" w:styleId="Podnadpis">
    <w:name w:val="Subtitle"/>
    <w:basedOn w:val="Normln"/>
    <w:next w:val="Zkladntext"/>
    <w:qFormat/>
    <w:pPr>
      <w:spacing w:after="60"/>
      <w:jc w:val="center"/>
    </w:pPr>
    <w:rPr>
      <w:rFonts w:ascii="Arial" w:hAnsi="Arial" w:cs="Arial"/>
    </w:rPr>
  </w:style>
  <w:style w:type="paragraph" w:customStyle="1" w:styleId="Index">
    <w:name w:val="Index"/>
    <w:basedOn w:val="Normln"/>
    <w:pPr>
      <w:widowControl w:val="0"/>
      <w:autoSpaceDE w:val="0"/>
    </w:pPr>
    <w:rPr>
      <w:sz w:val="18"/>
      <w:szCs w:val="18"/>
      <w:lang w:val="en-AU"/>
    </w:rPr>
  </w:style>
  <w:style w:type="paragraph" w:customStyle="1" w:styleId="Fio-text">
    <w:name w:val="Fio - text"/>
    <w:basedOn w:val="Normln"/>
    <w:pPr>
      <w:jc w:val="both"/>
    </w:pPr>
    <w:rPr>
      <w:rFonts w:ascii="Arial" w:hAnsi="Arial" w:cs="Arial"/>
      <w:sz w:val="18"/>
      <w:szCs w:val="20"/>
    </w:rPr>
  </w:style>
  <w:style w:type="paragraph" w:customStyle="1" w:styleId="Default">
    <w:name w:val="Default"/>
    <w:qFormat/>
    <w:pPr>
      <w:suppressAutoHyphens/>
      <w:autoSpaceDE w:val="0"/>
    </w:pPr>
    <w:rPr>
      <w:rFonts w:ascii="Garamond" w:hAnsi="Garamond" w:cs="Garamond"/>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791884">
      <w:bodyDiv w:val="1"/>
      <w:marLeft w:val="0"/>
      <w:marRight w:val="0"/>
      <w:marTop w:val="0"/>
      <w:marBottom w:val="0"/>
      <w:divBdr>
        <w:top w:val="none" w:sz="0" w:space="0" w:color="auto"/>
        <w:left w:val="none" w:sz="0" w:space="0" w:color="auto"/>
        <w:bottom w:val="none" w:sz="0" w:space="0" w:color="auto"/>
        <w:right w:val="none" w:sz="0" w:space="0" w:color="auto"/>
      </w:divBdr>
      <w:divsChild>
        <w:div w:id="96215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6E219-0D51-482E-9CEB-4E9BD3CD6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852</Words>
  <Characters>5031</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Potvrzení o složení základního kapitálu</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Potvrzení o složení základního kapitálu</dc:title>
  <dc:subject/>
  <dc:creator>Novotná Eva</dc:creator>
  <cp:keywords/>
  <cp:lastModifiedBy>novakovak@ad.fio.cz</cp:lastModifiedBy>
  <cp:revision>8</cp:revision>
  <cp:lastPrinted>2014-07-09T07:38:00Z</cp:lastPrinted>
  <dcterms:created xsi:type="dcterms:W3CDTF">2026-09-04T14:59:00Z</dcterms:created>
  <dcterms:modified xsi:type="dcterms:W3CDTF">2026-09-04T15:24:00Z</dcterms:modified>
</cp:coreProperties>
</file>