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 w:type="dxa"/>
        <w:tblLayout w:type="fixed"/>
        <w:tblCellMar>
          <w:left w:w="0" w:type="dxa"/>
          <w:right w:w="0" w:type="dxa"/>
        </w:tblCellMar>
        <w:tblLook w:val="0000" w:firstRow="0" w:lastRow="0" w:firstColumn="0" w:lastColumn="0" w:noHBand="0" w:noVBand="0"/>
      </w:tblPr>
      <w:tblGrid>
        <w:gridCol w:w="9524"/>
        <w:gridCol w:w="114"/>
      </w:tblGrid>
      <w:tr w:rsidR="00CF0924" w14:paraId="5C41FA5F" w14:textId="77777777">
        <w:tc>
          <w:tcPr>
            <w:tcW w:w="9524" w:type="dxa"/>
            <w:tcBorders>
              <w:top w:val="single" w:sz="6" w:space="0" w:color="auto"/>
              <w:left w:val="single" w:sz="8" w:space="0" w:color="auto"/>
              <w:bottom w:val="single" w:sz="6" w:space="0" w:color="auto"/>
              <w:right w:val="nil"/>
            </w:tcBorders>
            <w:shd w:val="pct30" w:color="0080FF" w:fill="FFFFFF"/>
          </w:tcPr>
          <w:p w14:paraId="328EFA0B" w14:textId="77777777" w:rsidR="000F35C3" w:rsidRDefault="000F35C3">
            <w:pPr>
              <w:widowControl w:val="0"/>
              <w:autoSpaceDE w:val="0"/>
              <w:autoSpaceDN w:val="0"/>
              <w:adjustRightInd w:val="0"/>
              <w:spacing w:before="57" w:after="0" w:line="240" w:lineRule="auto"/>
              <w:jc w:val="center"/>
              <w:rPr>
                <w:rFonts w:ascii="Calibri" w:hAnsi="Calibri" w:cs="Calibri"/>
                <w:b/>
                <w:bCs/>
                <w:color w:val="000000"/>
                <w:kern w:val="0"/>
                <w:sz w:val="44"/>
                <w:szCs w:val="44"/>
              </w:rPr>
            </w:pPr>
            <w:r>
              <w:rPr>
                <w:rFonts w:ascii="Calibri" w:hAnsi="Calibri" w:cs="Calibri"/>
                <w:b/>
                <w:bCs/>
                <w:color w:val="000000"/>
                <w:kern w:val="0"/>
                <w:sz w:val="44"/>
                <w:szCs w:val="44"/>
              </w:rPr>
              <w:t>ZNALECKÝ POSUDEK</w:t>
            </w:r>
          </w:p>
        </w:tc>
        <w:tc>
          <w:tcPr>
            <w:tcW w:w="114" w:type="dxa"/>
            <w:tcBorders>
              <w:top w:val="single" w:sz="6" w:space="0" w:color="auto"/>
              <w:left w:val="nil"/>
              <w:bottom w:val="single" w:sz="6" w:space="0" w:color="auto"/>
              <w:right w:val="single" w:sz="8" w:space="0" w:color="auto"/>
            </w:tcBorders>
            <w:shd w:val="pct30" w:color="0080FF" w:fill="FFFFFF"/>
          </w:tcPr>
          <w:p w14:paraId="321B4C11" w14:textId="77777777" w:rsidR="000F35C3" w:rsidRDefault="000F35C3">
            <w:pPr>
              <w:widowControl w:val="0"/>
              <w:autoSpaceDE w:val="0"/>
              <w:autoSpaceDN w:val="0"/>
              <w:adjustRightInd w:val="0"/>
              <w:spacing w:before="57" w:after="0" w:line="240" w:lineRule="auto"/>
              <w:jc w:val="center"/>
              <w:rPr>
                <w:rFonts w:ascii="Times New Roman" w:hAnsi="Times New Roman" w:cs="Times New Roman"/>
                <w:b/>
                <w:bCs/>
                <w:vanish/>
                <w:color w:val="000000"/>
                <w:kern w:val="0"/>
                <w:sz w:val="40"/>
                <w:szCs w:val="40"/>
              </w:rPr>
            </w:pPr>
          </w:p>
        </w:tc>
      </w:tr>
    </w:tbl>
    <w:p w14:paraId="6A2EF250" w14:textId="77777777" w:rsidR="000F35C3" w:rsidRDefault="000F35C3">
      <w:pPr>
        <w:widowControl w:val="0"/>
        <w:tabs>
          <w:tab w:val="left" w:pos="4230"/>
        </w:tabs>
        <w:autoSpaceDE w:val="0"/>
        <w:autoSpaceDN w:val="0"/>
        <w:adjustRightInd w:val="0"/>
        <w:spacing w:before="113"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číslo položky: 008041/2026</w:t>
      </w:r>
    </w:p>
    <w:p w14:paraId="2612E52B" w14:textId="77777777" w:rsidR="000F35C3" w:rsidRDefault="000F35C3">
      <w:pPr>
        <w:widowControl w:val="0"/>
        <w:autoSpaceDE w:val="0"/>
        <w:autoSpaceDN w:val="0"/>
        <w:adjustRightInd w:val="0"/>
        <w:spacing w:before="113" w:after="0" w:line="240" w:lineRule="auto"/>
        <w:ind w:left="1722" w:hanging="1722"/>
        <w:jc w:val="center"/>
        <w:rPr>
          <w:rFonts w:ascii="Times New Roman" w:hAnsi="Times New Roman" w:cs="Times New Roman"/>
          <w:color w:val="000000"/>
          <w:kern w:val="0"/>
        </w:rPr>
      </w:pPr>
      <w:r>
        <w:rPr>
          <w:rFonts w:ascii="Times New Roman" w:hAnsi="Times New Roman" w:cs="Times New Roman"/>
          <w:color w:val="000000"/>
          <w:kern w:val="0"/>
        </w:rPr>
        <w:t>Znalecký posudek je podán v oboru ekonomika, odvětví oceňování nemovitých věcí.</w:t>
      </w:r>
    </w:p>
    <w:p w14:paraId="3DEE70FF" w14:textId="77777777" w:rsidR="000F35C3" w:rsidRDefault="000F35C3">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7F71C053" w14:textId="0A1A826F" w:rsidR="000F35C3" w:rsidRDefault="000F35C3">
      <w:pPr>
        <w:widowControl w:val="0"/>
        <w:tabs>
          <w:tab w:val="left" w:pos="1260"/>
          <w:tab w:val="left" w:pos="2430"/>
          <w:tab w:val="left" w:pos="3690"/>
          <w:tab w:val="left" w:pos="5220"/>
          <w:tab w:val="left" w:pos="5490"/>
          <w:tab w:val="left" w:pos="6390"/>
          <w:tab w:val="left" w:pos="7470"/>
        </w:tabs>
        <w:autoSpaceDE w:val="0"/>
        <w:autoSpaceDN w:val="0"/>
        <w:adjustRightInd w:val="0"/>
        <w:spacing w:before="20" w:after="20" w:line="240" w:lineRule="auto"/>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 </w:t>
      </w:r>
      <w:r>
        <w:rPr>
          <w:rFonts w:ascii="Times New Roman" w:hAnsi="Times New Roman" w:cs="Times New Roman"/>
          <w:noProof/>
          <w:color w:val="000000"/>
          <w:kern w:val="0"/>
        </w:rPr>
        <w:drawing>
          <wp:inline distT="0" distB="0" distL="0" distR="0" wp14:anchorId="2F85AFCA" wp14:editId="3CA46744">
            <wp:extent cx="4328160" cy="3246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8160" cy="3246120"/>
                    </a:xfrm>
                    <a:prstGeom prst="rect">
                      <a:avLst/>
                    </a:prstGeom>
                    <a:noFill/>
                    <a:ln>
                      <a:noFill/>
                    </a:ln>
                  </pic:spPr>
                </pic:pic>
              </a:graphicData>
            </a:graphic>
          </wp:inline>
        </w:drawing>
      </w:r>
      <w:r>
        <w:rPr>
          <w:rFonts w:ascii="Times New Roman" w:hAnsi="Times New Roman" w:cs="Times New Roman"/>
          <w:color w:val="000000"/>
          <w:kern w:val="0"/>
          <w:sz w:val="22"/>
          <w:szCs w:val="22"/>
        </w:rPr>
        <w:t xml:space="preserve"> </w:t>
      </w:r>
    </w:p>
    <w:p w14:paraId="49EC1A40" w14:textId="77777777" w:rsidR="000F35C3" w:rsidRDefault="000F35C3">
      <w:pPr>
        <w:widowControl w:val="0"/>
        <w:autoSpaceDE w:val="0"/>
        <w:autoSpaceDN w:val="0"/>
        <w:adjustRightInd w:val="0"/>
        <w:spacing w:after="0" w:line="240" w:lineRule="auto"/>
        <w:rPr>
          <w:rFonts w:ascii="Times New Roman" w:hAnsi="Times New Roman" w:cs="Times New Roman"/>
          <w:color w:val="000000"/>
          <w:kern w:val="0"/>
        </w:rPr>
      </w:pPr>
    </w:p>
    <w:p w14:paraId="01B7EAE3" w14:textId="77777777" w:rsidR="000F35C3" w:rsidRDefault="000F35C3">
      <w:pPr>
        <w:widowControl w:val="0"/>
        <w:tabs>
          <w:tab w:val="left" w:pos="4230"/>
        </w:tabs>
        <w:autoSpaceDE w:val="0"/>
        <w:autoSpaceDN w:val="0"/>
        <w:adjustRightInd w:val="0"/>
        <w:spacing w:before="170" w:after="57" w:line="240" w:lineRule="auto"/>
        <w:rPr>
          <w:rFonts w:ascii="Calibri" w:hAnsi="Calibri" w:cs="Calibri"/>
          <w:b/>
          <w:bCs/>
          <w:color w:val="000000"/>
          <w:kern w:val="0"/>
          <w:sz w:val="28"/>
          <w:szCs w:val="28"/>
        </w:rPr>
      </w:pPr>
      <w:r>
        <w:rPr>
          <w:rFonts w:ascii="Calibri" w:hAnsi="Calibri" w:cs="Calibri"/>
          <w:b/>
          <w:bCs/>
          <w:color w:val="000000"/>
          <w:kern w:val="0"/>
          <w:sz w:val="28"/>
          <w:szCs w:val="28"/>
        </w:rPr>
        <w:t>Stručný popis předmětu znaleckého posudku</w:t>
      </w:r>
    </w:p>
    <w:p w14:paraId="07BAAD95" w14:textId="77777777" w:rsidR="000F35C3" w:rsidRDefault="000F35C3">
      <w:pPr>
        <w:widowControl w:val="0"/>
        <w:autoSpaceDE w:val="0"/>
        <w:autoSpaceDN w:val="0"/>
        <w:adjustRightInd w:val="0"/>
        <w:spacing w:line="259" w:lineRule="atLeast"/>
        <w:jc w:val="both"/>
        <w:rPr>
          <w:rFonts w:ascii="Times New Roman" w:hAnsi="Times New Roman" w:cs="Times New Roman"/>
          <w:color w:val="000000"/>
          <w:kern w:val="0"/>
        </w:rPr>
      </w:pPr>
      <w:r>
        <w:rPr>
          <w:rFonts w:ascii="Times New Roman" w:hAnsi="Times New Roman" w:cs="Times New Roman"/>
          <w:color w:val="000000"/>
          <w:kern w:val="0"/>
        </w:rPr>
        <w:t>Ocenění jednotky č. 444/11 Kynšperk nad Ohří pro dobrovolnou dražbu v řízení č.j. 176 DD 5/26.</w:t>
      </w:r>
    </w:p>
    <w:p w14:paraId="1FA1D991" w14:textId="77777777" w:rsidR="000F35C3" w:rsidRDefault="000F35C3">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CF0924" w14:paraId="4A33CEC0" w14:textId="77777777">
        <w:tc>
          <w:tcPr>
            <w:tcW w:w="2343" w:type="dxa"/>
            <w:tcBorders>
              <w:top w:val="single" w:sz="6" w:space="0" w:color="auto"/>
              <w:left w:val="single" w:sz="8" w:space="0" w:color="auto"/>
              <w:bottom w:val="single" w:sz="6" w:space="0" w:color="auto"/>
              <w:right w:val="nil"/>
            </w:tcBorders>
            <w:shd w:val="pct30" w:color="0080FF" w:fill="FFFFFF"/>
          </w:tcPr>
          <w:p w14:paraId="1F244F22" w14:textId="77777777" w:rsidR="000F35C3" w:rsidRDefault="000F35C3">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Znalec:</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4EFC902C" w14:textId="77777777" w:rsidR="000F35C3" w:rsidRDefault="000F35C3">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Znalecká společnost s.r.o.</w:t>
            </w:r>
          </w:p>
        </w:tc>
      </w:tr>
      <w:tr w:rsidR="00CF0924" w14:paraId="1F4EB2C1" w14:textId="77777777">
        <w:trPr>
          <w:hidden/>
        </w:trPr>
        <w:tc>
          <w:tcPr>
            <w:tcW w:w="2343" w:type="dxa"/>
            <w:tcBorders>
              <w:top w:val="nil"/>
              <w:left w:val="single" w:sz="8" w:space="0" w:color="auto"/>
              <w:bottom w:val="nil"/>
              <w:right w:val="nil"/>
            </w:tcBorders>
          </w:tcPr>
          <w:p w14:paraId="408F66FA" w14:textId="77777777" w:rsidR="000F35C3" w:rsidRDefault="000F35C3">
            <w:pPr>
              <w:widowControl w:val="0"/>
              <w:tabs>
                <w:tab w:val="left" w:pos="5490"/>
              </w:tabs>
              <w:autoSpaceDE w:val="0"/>
              <w:autoSpaceDN w:val="0"/>
              <w:adjustRightInd w:val="0"/>
              <w:spacing w:after="0" w:line="240" w:lineRule="auto"/>
              <w:ind w:left="113"/>
              <w:rPr>
                <w:rFonts w:ascii="Times New Roman" w:hAnsi="Times New Roman" w:cs="Times New Roman"/>
                <w:vanish/>
                <w:color w:val="000000"/>
                <w:kern w:val="0"/>
              </w:rPr>
            </w:pPr>
          </w:p>
        </w:tc>
        <w:tc>
          <w:tcPr>
            <w:tcW w:w="7295" w:type="dxa"/>
            <w:tcBorders>
              <w:top w:val="nil"/>
              <w:left w:val="nil"/>
              <w:bottom w:val="nil"/>
              <w:right w:val="single" w:sz="8" w:space="0" w:color="auto"/>
            </w:tcBorders>
          </w:tcPr>
          <w:p w14:paraId="586E6CBF" w14:textId="77777777" w:rsidR="000F35C3" w:rsidRDefault="000F35C3">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Palackého 715/15, 110 00 Praha 1 - Nové Město</w:t>
            </w:r>
          </w:p>
        </w:tc>
      </w:tr>
      <w:tr w:rsidR="00CF0924" w14:paraId="1A43BF0B" w14:textId="77777777">
        <w:tc>
          <w:tcPr>
            <w:tcW w:w="2343" w:type="dxa"/>
            <w:tcBorders>
              <w:top w:val="single" w:sz="8" w:space="0" w:color="auto"/>
              <w:left w:val="nil"/>
              <w:bottom w:val="nil"/>
              <w:right w:val="nil"/>
            </w:tcBorders>
          </w:tcPr>
          <w:p w14:paraId="292C6803" w14:textId="77777777" w:rsidR="000F35C3" w:rsidRDefault="000F35C3">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c>
          <w:tcPr>
            <w:tcW w:w="7295" w:type="dxa"/>
            <w:tcBorders>
              <w:top w:val="single" w:sz="8" w:space="0" w:color="auto"/>
              <w:left w:val="nil"/>
              <w:bottom w:val="nil"/>
              <w:right w:val="nil"/>
            </w:tcBorders>
          </w:tcPr>
          <w:p w14:paraId="279F0306" w14:textId="77777777" w:rsidR="000F35C3" w:rsidRDefault="000F35C3">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r>
    </w:tbl>
    <w:p w14:paraId="3404D5E0" w14:textId="77777777" w:rsidR="000F35C3" w:rsidRDefault="000F35C3">
      <w:pPr>
        <w:widowControl w:val="0"/>
        <w:tabs>
          <w:tab w:val="left" w:pos="4230"/>
        </w:tabs>
        <w:autoSpaceDE w:val="0"/>
        <w:autoSpaceDN w:val="0"/>
        <w:adjustRightInd w:val="0"/>
        <w:spacing w:after="0" w:line="240" w:lineRule="auto"/>
        <w:rPr>
          <w:rFonts w:ascii="Times New Roman" w:hAnsi="Times New Roman" w:cs="Times New Roman"/>
          <w:color w:val="000000"/>
          <w:kern w:val="0"/>
          <w:sz w:val="12"/>
          <w:szCs w:val="12"/>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CF0924" w14:paraId="6F4CA6B3" w14:textId="77777777">
        <w:tc>
          <w:tcPr>
            <w:tcW w:w="2343" w:type="dxa"/>
            <w:tcBorders>
              <w:top w:val="single" w:sz="6" w:space="0" w:color="auto"/>
              <w:left w:val="single" w:sz="8" w:space="0" w:color="auto"/>
              <w:bottom w:val="single" w:sz="6" w:space="0" w:color="auto"/>
              <w:right w:val="nil"/>
            </w:tcBorders>
            <w:shd w:val="pct30" w:color="0080FF" w:fill="FFFFFF"/>
            <w:vAlign w:val="center"/>
          </w:tcPr>
          <w:p w14:paraId="388DB3CA" w14:textId="77777777" w:rsidR="000F35C3" w:rsidRDefault="000F35C3">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Zadavatel:</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2F3715D0" w14:textId="77777777" w:rsidR="000F35C3" w:rsidRDefault="000F35C3">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EXEKUTORSKÝ ÚŘAD CHEB, JUDr. Josef Lavička, soudní exekutor</w:t>
            </w:r>
          </w:p>
        </w:tc>
      </w:tr>
      <w:tr w:rsidR="00CF0924" w14:paraId="6CC8F429" w14:textId="77777777">
        <w:tc>
          <w:tcPr>
            <w:tcW w:w="2343" w:type="dxa"/>
            <w:tcBorders>
              <w:top w:val="nil"/>
              <w:left w:val="single" w:sz="8" w:space="0" w:color="auto"/>
              <w:bottom w:val="nil"/>
              <w:right w:val="nil"/>
            </w:tcBorders>
          </w:tcPr>
          <w:p w14:paraId="6AA40E92" w14:textId="77777777" w:rsidR="000F35C3" w:rsidRDefault="000F35C3">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p>
        </w:tc>
        <w:tc>
          <w:tcPr>
            <w:tcW w:w="7295" w:type="dxa"/>
            <w:tcBorders>
              <w:top w:val="nil"/>
              <w:left w:val="nil"/>
              <w:bottom w:val="nil"/>
              <w:right w:val="single" w:sz="8" w:space="0" w:color="auto"/>
            </w:tcBorders>
          </w:tcPr>
          <w:p w14:paraId="32CFE675" w14:textId="77777777" w:rsidR="000F35C3" w:rsidRDefault="000F35C3">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26. dubna 10, 35002 Cheb</w:t>
            </w:r>
          </w:p>
        </w:tc>
      </w:tr>
      <w:tr w:rsidR="00CF0924" w14:paraId="529D879B" w14:textId="77777777">
        <w:tc>
          <w:tcPr>
            <w:tcW w:w="2343" w:type="dxa"/>
            <w:tcBorders>
              <w:top w:val="single" w:sz="8" w:space="0" w:color="auto"/>
              <w:left w:val="nil"/>
              <w:bottom w:val="nil"/>
              <w:right w:val="nil"/>
            </w:tcBorders>
          </w:tcPr>
          <w:p w14:paraId="744BCB0B" w14:textId="77777777" w:rsidR="000F35C3" w:rsidRDefault="000F35C3">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c>
          <w:tcPr>
            <w:tcW w:w="7295" w:type="dxa"/>
            <w:tcBorders>
              <w:top w:val="single" w:sz="8" w:space="0" w:color="auto"/>
              <w:left w:val="nil"/>
              <w:bottom w:val="nil"/>
              <w:right w:val="nil"/>
            </w:tcBorders>
          </w:tcPr>
          <w:p w14:paraId="1AB95278" w14:textId="77777777" w:rsidR="000F35C3" w:rsidRDefault="000F35C3">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r>
    </w:tbl>
    <w:p w14:paraId="00682020" w14:textId="77777777" w:rsidR="000F35C3" w:rsidRDefault="000F35C3">
      <w:pPr>
        <w:widowControl w:val="0"/>
        <w:tabs>
          <w:tab w:val="left" w:pos="4230"/>
        </w:tabs>
        <w:autoSpaceDE w:val="0"/>
        <w:autoSpaceDN w:val="0"/>
        <w:adjustRightInd w:val="0"/>
        <w:spacing w:after="0" w:line="240" w:lineRule="auto"/>
        <w:rPr>
          <w:rFonts w:ascii="Times New Roman" w:hAnsi="Times New Roman" w:cs="Times New Roman"/>
          <w:color w:val="000000"/>
          <w:kern w:val="0"/>
          <w:sz w:val="12"/>
          <w:szCs w:val="12"/>
        </w:rPr>
      </w:pPr>
    </w:p>
    <w:p w14:paraId="35A524CC" w14:textId="77777777" w:rsidR="000F35C3" w:rsidRDefault="000F35C3">
      <w:pPr>
        <w:widowControl w:val="0"/>
        <w:tabs>
          <w:tab w:val="left" w:pos="4230"/>
        </w:tabs>
        <w:autoSpaceDE w:val="0"/>
        <w:autoSpaceDN w:val="0"/>
        <w:adjustRightInd w:val="0"/>
        <w:spacing w:after="0" w:line="240" w:lineRule="auto"/>
        <w:ind w:left="1695" w:hanging="1692"/>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2910"/>
        <w:gridCol w:w="6728"/>
      </w:tblGrid>
      <w:tr w:rsidR="00CF0924" w14:paraId="39F0DDB0" w14:textId="77777777">
        <w:tc>
          <w:tcPr>
            <w:tcW w:w="2910" w:type="dxa"/>
            <w:tcBorders>
              <w:top w:val="single" w:sz="6" w:space="0" w:color="auto"/>
              <w:left w:val="single" w:sz="8" w:space="0" w:color="auto"/>
              <w:bottom w:val="single" w:sz="6" w:space="0" w:color="auto"/>
              <w:right w:val="nil"/>
            </w:tcBorders>
            <w:shd w:val="pct30" w:color="0080FF" w:fill="FFFFFF"/>
            <w:vAlign w:val="center"/>
          </w:tcPr>
          <w:p w14:paraId="1B81704B" w14:textId="77777777" w:rsidR="000F35C3" w:rsidRDefault="000F35C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13"/>
              <w:jc w:val="center"/>
              <w:rPr>
                <w:rFonts w:ascii="Calibri" w:hAnsi="Calibri" w:cs="Calibri"/>
                <w:b/>
                <w:bCs/>
                <w:color w:val="000000"/>
                <w:kern w:val="0"/>
                <w:sz w:val="32"/>
                <w:szCs w:val="32"/>
              </w:rPr>
            </w:pPr>
            <w:r>
              <w:rPr>
                <w:rFonts w:ascii="Calibri" w:hAnsi="Calibri" w:cs="Calibri"/>
                <w:b/>
                <w:bCs/>
                <w:color w:val="000000"/>
                <w:kern w:val="0"/>
                <w:sz w:val="32"/>
                <w:szCs w:val="32"/>
              </w:rPr>
              <w:t>OBVYKLÁ CENA</w:t>
            </w:r>
          </w:p>
        </w:tc>
        <w:tc>
          <w:tcPr>
            <w:tcW w:w="6728" w:type="dxa"/>
            <w:tcBorders>
              <w:top w:val="single" w:sz="6" w:space="0" w:color="auto"/>
              <w:left w:val="nil"/>
              <w:bottom w:val="single" w:sz="6" w:space="0" w:color="auto"/>
              <w:right w:val="single" w:sz="8" w:space="0" w:color="auto"/>
            </w:tcBorders>
            <w:shd w:val="pct30" w:color="0080FF" w:fill="FFFFFF"/>
            <w:vAlign w:val="center"/>
          </w:tcPr>
          <w:p w14:paraId="4FBDA85D" w14:textId="77777777" w:rsidR="000F35C3" w:rsidRDefault="000F35C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1 692 000 Kč</w:t>
            </w:r>
          </w:p>
        </w:tc>
      </w:tr>
    </w:tbl>
    <w:p w14:paraId="687583F9" w14:textId="4F116C4D" w:rsidR="000F35C3" w:rsidRDefault="000F35C3">
      <w:pPr>
        <w:widowControl w:val="0"/>
        <w:tabs>
          <w:tab w:val="left" w:pos="3420"/>
          <w:tab w:val="right" w:pos="9180"/>
          <w:tab w:val="right" w:pos="9331"/>
        </w:tabs>
        <w:autoSpaceDE w:val="0"/>
        <w:autoSpaceDN w:val="0"/>
        <w:adjustRightInd w:val="0"/>
        <w:spacing w:before="227" w:after="57" w:line="240" w:lineRule="auto"/>
        <w:rPr>
          <w:rFonts w:ascii="Times New Roman" w:hAnsi="Times New Roman" w:cs="Times New Roman"/>
          <w:color w:val="000000"/>
          <w:kern w:val="0"/>
        </w:rPr>
      </w:pPr>
      <w:r>
        <w:rPr>
          <w:rFonts w:ascii="Calibri" w:hAnsi="Calibri" w:cs="Calibri"/>
          <w:b/>
          <w:bCs/>
          <w:color w:val="000000"/>
          <w:kern w:val="0"/>
          <w:sz w:val="28"/>
          <w:szCs w:val="28"/>
        </w:rPr>
        <w:t>Počet stran:</w:t>
      </w:r>
      <w:r>
        <w:rPr>
          <w:rFonts w:ascii="Times New Roman" w:hAnsi="Times New Roman" w:cs="Times New Roman"/>
          <w:b/>
          <w:bCs/>
          <w:color w:val="000000"/>
          <w:kern w:val="0"/>
        </w:rPr>
        <w:t xml:space="preserve"> </w:t>
      </w:r>
      <w:r>
        <w:rPr>
          <w:rFonts w:ascii="Times New Roman" w:hAnsi="Times New Roman" w:cs="Times New Roman"/>
          <w:color w:val="000000"/>
          <w:kern w:val="0"/>
        </w:rPr>
        <w:t xml:space="preserve">18 </w:t>
      </w:r>
      <w:r>
        <w:rPr>
          <w:rFonts w:ascii="Times New Roman" w:hAnsi="Times New Roman" w:cs="Times New Roman"/>
          <w:color w:val="000000"/>
          <w:kern w:val="0"/>
        </w:rPr>
        <w:tab/>
      </w:r>
      <w:r>
        <w:rPr>
          <w:rFonts w:ascii="Calibri" w:hAnsi="Calibri" w:cs="Calibri"/>
          <w:b/>
          <w:bCs/>
          <w:color w:val="000000"/>
          <w:kern w:val="0"/>
          <w:sz w:val="28"/>
          <w:szCs w:val="28"/>
        </w:rPr>
        <w:t>Počet vyhotovení:</w:t>
      </w:r>
      <w:r>
        <w:rPr>
          <w:rFonts w:ascii="Times New Roman" w:hAnsi="Times New Roman" w:cs="Times New Roman"/>
          <w:color w:val="000000"/>
          <w:kern w:val="0"/>
        </w:rPr>
        <w:t xml:space="preserve"> 1</w:t>
      </w:r>
      <w:r>
        <w:rPr>
          <w:rFonts w:ascii="Times New Roman" w:hAnsi="Times New Roman" w:cs="Times New Roman"/>
          <w:b/>
          <w:bCs/>
          <w:color w:val="000000"/>
          <w:kern w:val="0"/>
        </w:rPr>
        <w:tab/>
      </w:r>
      <w:r>
        <w:rPr>
          <w:rFonts w:ascii="Calibri" w:hAnsi="Calibri" w:cs="Calibri"/>
          <w:b/>
          <w:bCs/>
          <w:color w:val="000000"/>
          <w:kern w:val="0"/>
          <w:sz w:val="28"/>
          <w:szCs w:val="28"/>
        </w:rPr>
        <w:t>Vyhotovení číslo:</w:t>
      </w:r>
      <w:r>
        <w:rPr>
          <w:rFonts w:ascii="Times New Roman" w:hAnsi="Times New Roman" w:cs="Times New Roman"/>
          <w:color w:val="000000"/>
          <w:kern w:val="0"/>
        </w:rPr>
        <w:t xml:space="preserve"> 1</w:t>
      </w:r>
    </w:p>
    <w:p w14:paraId="7F54DBE4" w14:textId="2BA46716" w:rsidR="000F35C3" w:rsidRDefault="000F35C3">
      <w:pPr>
        <w:widowControl w:val="0"/>
        <w:tabs>
          <w:tab w:val="right" w:pos="9180"/>
        </w:tabs>
        <w:autoSpaceDE w:val="0"/>
        <w:autoSpaceDN w:val="0"/>
        <w:adjustRightInd w:val="0"/>
        <w:spacing w:before="227" w:after="57" w:line="240" w:lineRule="auto"/>
        <w:jc w:val="both"/>
        <w:rPr>
          <w:rFonts w:ascii="Times New Roman" w:hAnsi="Times New Roman" w:cs="Times New Roman"/>
          <w:color w:val="000000"/>
          <w:kern w:val="0"/>
        </w:rPr>
      </w:pPr>
      <w:r>
        <w:rPr>
          <w:rFonts w:ascii="Calibri" w:hAnsi="Calibri" w:cs="Calibri"/>
          <w:b/>
          <w:bCs/>
          <w:color w:val="000000"/>
          <w:kern w:val="0"/>
          <w:sz w:val="28"/>
          <w:szCs w:val="28"/>
        </w:rPr>
        <w:t>Podle stavu ke dni:</w:t>
      </w:r>
      <w:r>
        <w:rPr>
          <w:rFonts w:ascii="Calibri" w:hAnsi="Calibri" w:cs="Calibri"/>
          <w:color w:val="000000"/>
          <w:kern w:val="0"/>
          <w:sz w:val="28"/>
          <w:szCs w:val="28"/>
        </w:rPr>
        <w:t xml:space="preserve"> </w:t>
      </w:r>
      <w:r w:rsidR="00154DF9">
        <w:rPr>
          <w:rFonts w:ascii="Times New Roman" w:hAnsi="Times New Roman" w:cs="Times New Roman"/>
          <w:color w:val="000000"/>
          <w:kern w:val="0"/>
        </w:rPr>
        <w:t>10.02</w:t>
      </w:r>
      <w:r>
        <w:rPr>
          <w:rFonts w:ascii="Times New Roman" w:hAnsi="Times New Roman" w:cs="Times New Roman"/>
          <w:color w:val="000000"/>
          <w:kern w:val="0"/>
        </w:rPr>
        <w:t>.2026</w:t>
      </w:r>
      <w:r>
        <w:rPr>
          <w:rFonts w:ascii="Times New Roman" w:hAnsi="Times New Roman" w:cs="Times New Roman"/>
          <w:color w:val="000000"/>
          <w:kern w:val="0"/>
        </w:rPr>
        <w:tab/>
      </w:r>
      <w:r>
        <w:rPr>
          <w:rFonts w:ascii="Calibri" w:hAnsi="Calibri" w:cs="Calibri"/>
          <w:b/>
          <w:bCs/>
          <w:color w:val="000000"/>
          <w:kern w:val="0"/>
          <w:sz w:val="28"/>
          <w:szCs w:val="28"/>
        </w:rPr>
        <w:t xml:space="preserve">Vyhotoveno: </w:t>
      </w:r>
      <w:r>
        <w:rPr>
          <w:rFonts w:ascii="Times New Roman" w:hAnsi="Times New Roman" w:cs="Times New Roman"/>
          <w:color w:val="000000"/>
          <w:kern w:val="0"/>
        </w:rPr>
        <w:t xml:space="preserve">V Praze </w:t>
      </w:r>
      <w:r w:rsidR="00154DF9">
        <w:rPr>
          <w:rFonts w:ascii="Times New Roman" w:hAnsi="Times New Roman" w:cs="Times New Roman"/>
          <w:color w:val="000000"/>
          <w:kern w:val="0"/>
        </w:rPr>
        <w:t>10.02</w:t>
      </w:r>
      <w:r>
        <w:rPr>
          <w:rFonts w:ascii="Times New Roman" w:hAnsi="Times New Roman" w:cs="Times New Roman"/>
          <w:color w:val="000000"/>
          <w:kern w:val="0"/>
        </w:rPr>
        <w:t>.2026</w:t>
      </w:r>
    </w:p>
    <w:p w14:paraId="7584C45E" w14:textId="77777777" w:rsidR="000F35C3" w:rsidRDefault="000F35C3">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016E44CF" w14:textId="77777777" w:rsidR="000F35C3" w:rsidRDefault="000F35C3">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7E527A02" w14:textId="77777777" w:rsidR="000F35C3" w:rsidRDefault="000F35C3">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CF0924" w14:paraId="2E11F328" w14:textId="77777777">
        <w:tc>
          <w:tcPr>
            <w:tcW w:w="9486" w:type="dxa"/>
            <w:tcBorders>
              <w:top w:val="single" w:sz="6" w:space="0" w:color="auto"/>
              <w:left w:val="single" w:sz="8" w:space="0" w:color="auto"/>
              <w:bottom w:val="single" w:sz="6" w:space="0" w:color="auto"/>
              <w:right w:val="nil"/>
            </w:tcBorders>
            <w:shd w:val="pct30" w:color="0080FF" w:fill="FFFFFF"/>
          </w:tcPr>
          <w:p w14:paraId="3D1FA380" w14:textId="77777777" w:rsidR="000F35C3" w:rsidRDefault="000F35C3">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1. ZADÁNÍ</w:t>
            </w:r>
          </w:p>
        </w:tc>
        <w:tc>
          <w:tcPr>
            <w:tcW w:w="152" w:type="dxa"/>
            <w:tcBorders>
              <w:top w:val="single" w:sz="6" w:space="0" w:color="auto"/>
              <w:left w:val="nil"/>
              <w:bottom w:val="single" w:sz="6" w:space="0" w:color="auto"/>
              <w:right w:val="single" w:sz="8" w:space="0" w:color="auto"/>
            </w:tcBorders>
            <w:shd w:val="pct30" w:color="0080FF" w:fill="FFFFFF"/>
          </w:tcPr>
          <w:p w14:paraId="01D045C9" w14:textId="77777777" w:rsidR="000F35C3" w:rsidRDefault="000F35C3">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01AA15C9" w14:textId="77777777" w:rsidR="000F35C3" w:rsidRDefault="000F35C3">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751278BD" w14:textId="77777777" w:rsidR="000F35C3" w:rsidRDefault="000F35C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1.1. Znalecký úkol, odborná otázka zadavatele</w:t>
      </w:r>
    </w:p>
    <w:p w14:paraId="60AED7C1"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Znaleckým úkolem je provést ocenění cenou obvyklou jednotky č. 444/11 (byt) v budově Kynšperk nad Ohří č.p. 443, 444 (bytový dům, LV 1464) na pozemku parc. č. 169 (LV 1464) včetně podílu na společných částech domu a pozemku parc. č. 169 (zastavěná plocha a nádvoří) o velikosti 544/16779 v kat. území Kynšperk nad Ohří, obec Kynšperk nad Ohří, část obce Kynšperk nad Ohří, okres Sokolov, zapsáno na LV 2169.</w:t>
      </w:r>
    </w:p>
    <w:p w14:paraId="2E97FE7A" w14:textId="77777777" w:rsidR="000F35C3" w:rsidRDefault="000F35C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1.2. Účel znaleckého posudku</w:t>
      </w:r>
    </w:p>
    <w:p w14:paraId="180A4F5C" w14:textId="77777777" w:rsidR="000F35C3" w:rsidRDefault="000F35C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Účel znaleckého posudku je stanovení obvyklé ceny pro dobrovolnou dražbu.</w:t>
      </w:r>
    </w:p>
    <w:p w14:paraId="5E93495F" w14:textId="77777777" w:rsidR="000F35C3" w:rsidRDefault="000F35C3" w:rsidP="000F35C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jc w:val="both"/>
        <w:rPr>
          <w:rFonts w:ascii="Calibri" w:hAnsi="Calibri" w:cs="Calibri"/>
          <w:b/>
          <w:bCs/>
          <w:color w:val="000000"/>
          <w:kern w:val="0"/>
          <w:sz w:val="32"/>
          <w:szCs w:val="32"/>
        </w:rPr>
      </w:pPr>
      <w:r>
        <w:rPr>
          <w:rFonts w:ascii="Calibri" w:hAnsi="Calibri" w:cs="Calibri"/>
          <w:b/>
          <w:bCs/>
          <w:color w:val="000000"/>
          <w:kern w:val="0"/>
          <w:sz w:val="32"/>
          <w:szCs w:val="32"/>
        </w:rPr>
        <w:t>1.3. Skutečnosti sdělené zadavatelem mající vliv na přesnost závěru znaleckého posudku</w:t>
      </w:r>
    </w:p>
    <w:p w14:paraId="5372B041" w14:textId="77777777" w:rsidR="000F35C3" w:rsidRDefault="000F35C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Nebyly sděleny.</w:t>
      </w:r>
    </w:p>
    <w:p w14:paraId="71E09948" w14:textId="77777777" w:rsidR="000F35C3" w:rsidRDefault="000F35C3">
      <w:pPr>
        <w:widowControl w:val="0"/>
        <w:tabs>
          <w:tab w:val="center" w:pos="4860"/>
          <w:tab w:val="right" w:pos="9638"/>
        </w:tabs>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1.4. Prohlídka</w:t>
      </w:r>
    </w:p>
    <w:p w14:paraId="50656008" w14:textId="77777777" w:rsidR="000F35C3" w:rsidRDefault="000F35C3">
      <w:pPr>
        <w:widowControl w:val="0"/>
        <w:tabs>
          <w:tab w:val="left" w:pos="423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Prohlídka byla provedena dne 20.1.2026.</w:t>
      </w:r>
    </w:p>
    <w:p w14:paraId="5C21FCEE" w14:textId="77777777" w:rsidR="000F35C3" w:rsidRDefault="000F35C3">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1EF11120" w14:textId="77777777" w:rsidR="000F35C3" w:rsidRDefault="000F35C3">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CF0924" w14:paraId="755D2755" w14:textId="77777777">
        <w:tc>
          <w:tcPr>
            <w:tcW w:w="9486" w:type="dxa"/>
            <w:tcBorders>
              <w:top w:val="single" w:sz="6" w:space="0" w:color="auto"/>
              <w:left w:val="single" w:sz="8" w:space="0" w:color="auto"/>
              <w:bottom w:val="single" w:sz="6" w:space="0" w:color="auto"/>
              <w:right w:val="nil"/>
            </w:tcBorders>
            <w:shd w:val="pct30" w:color="0080FF" w:fill="FFFFFF"/>
          </w:tcPr>
          <w:p w14:paraId="212ACA39" w14:textId="77777777" w:rsidR="000F35C3" w:rsidRDefault="000F35C3">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2. VÝČET PODKLADŮ</w:t>
            </w:r>
          </w:p>
        </w:tc>
        <w:tc>
          <w:tcPr>
            <w:tcW w:w="152" w:type="dxa"/>
            <w:tcBorders>
              <w:top w:val="single" w:sz="6" w:space="0" w:color="auto"/>
              <w:left w:val="nil"/>
              <w:bottom w:val="single" w:sz="6" w:space="0" w:color="auto"/>
              <w:right w:val="single" w:sz="8" w:space="0" w:color="auto"/>
            </w:tcBorders>
            <w:shd w:val="pct30" w:color="0080FF" w:fill="FFFFFF"/>
          </w:tcPr>
          <w:p w14:paraId="019CBF22" w14:textId="77777777" w:rsidR="000F35C3" w:rsidRDefault="000F35C3">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11BAD9A0" w14:textId="77777777" w:rsidR="000F35C3" w:rsidRDefault="000F35C3">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483B83CD" w14:textId="77777777" w:rsidR="000F35C3" w:rsidRDefault="000F35C3">
      <w:pPr>
        <w:widowControl w:val="0"/>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2.1. Popis postupu znalce při výběru zdrojů dat</w:t>
      </w:r>
    </w:p>
    <w:p w14:paraId="2E3C1D8D"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Znalecká kancelář při zpracování znaleckého posudku vybírá a definuje zdroje dat, které budou v daném znaleckém posudku posuzovány. Zdrojem jsou dokumenty, zkoumaný předmět (věc), veřejné zdroje, informační databáze, informace získané při místním šetření či jakákoli jiná vstupní data, jež mají být zkoumána a vyhodnocena. Znalecká kancelář při výběru zdrojů dat postupuje následovně: </w:t>
      </w:r>
    </w:p>
    <w:p w14:paraId="5346680A"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4F121BDA"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1) Primárním zdrojem dat je katastr nemovitostí a jeho přidružené aplikace.</w:t>
      </w:r>
    </w:p>
    <w:p w14:paraId="04C35A55"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556D2414"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i/>
          <w:iCs/>
          <w:color w:val="000000"/>
          <w:kern w:val="0"/>
        </w:rPr>
        <w:t>„Katastr nemovitostí je soubor údajů o nemovitostech v České republice zahrnující jejich soupis a popis a jejich geometrické a polohové určení. Jeho součástí je evidence vlastnických a jiných věcných práv a dalších, zákonem stanovených, práv k těmto nemovitostem. Katastr nemovitostí obsahuje řadu důležitých údajů o pozemcích a vybraných stavbách a o jejich vlastnících, a to dle zákona č. 256/2013 Sb. o katastru nemovitostí (katastrální zákon).</w:t>
      </w:r>
      <w:r>
        <w:rPr>
          <w:rFonts w:ascii="Times New Roman" w:hAnsi="Times New Roman" w:cs="Times New Roman"/>
          <w:color w:val="000000"/>
          <w:kern w:val="0"/>
        </w:rPr>
        <w:t xml:space="preserve"> </w:t>
      </w:r>
    </w:p>
    <w:p w14:paraId="570DEBC1"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4C1A38CF"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i/>
          <w:iCs/>
          <w:color w:val="000000"/>
          <w:kern w:val="0"/>
        </w:rPr>
        <w:t>Registr územní identifikace, adres a nemovitostí (RÚIAN) je jedním ze základních registrů veřejné správy. Je veřejným seznamem, nevede žádné osobní údaje a je jedinečným zdrojem adres nejen pro veřejnou správu. Obsahuje také údaje o územních prvcích, územně evidenčních jednotkách a jejich vzájemných vazbách [zdroj: cuzk.cz]</w:t>
      </w:r>
      <w:r>
        <w:rPr>
          <w:rFonts w:ascii="Times New Roman" w:hAnsi="Times New Roman" w:cs="Times New Roman"/>
          <w:color w:val="000000"/>
          <w:kern w:val="0"/>
        </w:rPr>
        <w:t>“</w:t>
      </w:r>
    </w:p>
    <w:p w14:paraId="2502340B"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6093517A"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Získaná zdrojová data jsou propojena s aplikacemi třetích stran a tím jsme získali další údaje jako jsou např. mapové podklady území, ortofotomapy, územní plány aj.</w:t>
      </w:r>
    </w:p>
    <w:p w14:paraId="0EA99A1A"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1B8996B0"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2) Sekundárním zdrojem dat je místní šetření, při kterém jsou sbírána data o oceňované nemovité věci přímo na místě na základě vnějšího ohledání, včetně pořízení podrobné fotodokumentace. Pokud je nám poskytnuta alespoň částečná součinnost jsou získána dále data o vnitřním uspořádáním nemovité věci, jejím vybavením a stavu. Dochází také k zaměření nemovité věci v případě stavby je-li umožněn přístup do všech prostor objektu. </w:t>
      </w:r>
    </w:p>
    <w:p w14:paraId="08669D1B"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63A5CD01"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Dalším definovaným zdrojem dat jsou aplikace společností Valuo.cz, RE\MAX, či jiných realitních kanceláří, z kterých lze získat fotografie, popis, rozměry nejen srovnávacích vzorků. Tyto data je nutné potom jednoznačně zidentifikovat s katastrem nemovitostí, z kterého je získána kupní cena. Tuto identifikaci jsme provedli.</w:t>
      </w:r>
    </w:p>
    <w:p w14:paraId="1CD5E9CD" w14:textId="77777777" w:rsidR="000F35C3" w:rsidRDefault="000F35C3">
      <w:pPr>
        <w:widowControl w:val="0"/>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2.2. Výčet vybraných zdrojů dat a jejich popis</w:t>
      </w:r>
    </w:p>
    <w:p w14:paraId="5577319E"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Níže uvádíme výpis podkladů, z kterých bylo při vyhotovení znaleckého posudku čerpáno. Jedná se o zdrojové dokumenty a informace, které mají dle našeho odborného názoru vliv na vypracování znaleckého posudku a zodpovězení uloženého znaleckého úkonu:</w:t>
      </w:r>
    </w:p>
    <w:p w14:paraId="58B75390"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0C0D9B00"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objednávka soudního exekutora JUDr. Josefa Lavičky k vypracování znaleckého posudku pod č.j. 176 DD 5/26,</w:t>
      </w:r>
    </w:p>
    <w:p w14:paraId="010000C2"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7829B6F7"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informace získané při místním šetření např. fotodokumentace pořízena při prohlídce, zjištění skutečnosti dotčené nemovité věci dne 20.1.2026,</w:t>
      </w:r>
    </w:p>
    <w:p w14:paraId="735D0D2D"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53CF6EDB"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lastRenderedPageBreak/>
        <w:t>- list vlastnictví č. 2169 ze dne 10.7.2025, vyhotoveno dálkovým přístupem,</w:t>
      </w:r>
    </w:p>
    <w:p w14:paraId="57DCBCF8"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4A4A6822"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list vlastnictví č. 1464 ze dne 30.12.2025, vyhotoveno dálkovým přístupem,</w:t>
      </w:r>
    </w:p>
    <w:p w14:paraId="2389CBBA"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78595D35"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katastrální mapa, včetně ortofotomapy ze dne 20.1.2026, vyhotoveno přes aplikaci katastru Marushka, RÚIAN,</w:t>
      </w:r>
    </w:p>
    <w:p w14:paraId="1759B4C4"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67787614"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aplikace třetích stran (mapy.cz, www.google.com/maps, povodňová mapa ČR - EDPP.CZ) dále se jedná o portály státní správy jako je např. databáze NPÚ.cz aj.), vyhotovení mapového podkladu ze serveru mapy.cz ze dne 20.1.2026,</w:t>
      </w:r>
    </w:p>
    <w:p w14:paraId="1356C3EC"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02A6E25F"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informace o realizovaných cenách z dostupných databází (katastru nemovitostí):</w:t>
      </w:r>
    </w:p>
    <w:p w14:paraId="5746FB60"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592679CD"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V-5188/2024-409. Podání k okamžiku 23.10.2024, spárovaný s databází Valuo.cz pod číslem #1544695,</w:t>
      </w:r>
    </w:p>
    <w:p w14:paraId="341B9BD8"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2236764D"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V-6022/2024-409. Podání k okamžiku 9.12.2024, spárovaný s databází Valuo.cz pod číslem #1628089,</w:t>
      </w:r>
    </w:p>
    <w:p w14:paraId="1E6530BB"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2B0B37B9"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V-3650/2025-409. Podání k okamžiku 14.7.2025, spárovaný s databází Valuo.cz pod číslem #1692031,</w:t>
      </w:r>
    </w:p>
    <w:p w14:paraId="68657A1D"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180A966F"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kopie Odhadu tržní hodnoty (obvyklé ceny) č. 21/2/2025 ze dne 12.2.2025,</w:t>
      </w:r>
    </w:p>
    <w:p w14:paraId="6939E961"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6DBB0BE5"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kopie prohlášení vlastníka.</w:t>
      </w:r>
    </w:p>
    <w:p w14:paraId="3BC45258"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7597C113"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Podrobný popis dat, která byla pro ocenění vybrána (srovnávací vzorky) a použita dle nadefinovaných kritérií je obsažen v odstavci 4.2 znaleckého posudku.</w:t>
      </w:r>
    </w:p>
    <w:p w14:paraId="59D6DE34" w14:textId="77777777" w:rsidR="000F35C3" w:rsidRDefault="000F35C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231744BD" w14:textId="77777777" w:rsidR="000F35C3" w:rsidRDefault="000F35C3">
      <w:pPr>
        <w:widowControl w:val="0"/>
        <w:autoSpaceDE w:val="0"/>
        <w:autoSpaceDN w:val="0"/>
        <w:adjustRightInd w:val="0"/>
        <w:spacing w:before="227"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2.3. Věrohodnost zdroje dat</w:t>
      </w:r>
    </w:p>
    <w:p w14:paraId="4EB4C3F3"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Zdrojem dat jsou data získaná primárně z katastru nemovitostí a sekundárně z databází aplikací třetích stran na nich navazující.</w:t>
      </w:r>
    </w:p>
    <w:p w14:paraId="07CE3173"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0C4BB909"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Data lze považovat za věrohodné, protože katastr nemovitostí je veřejný seznam. Obdobně lze uvažovat u aplikací u třetích stran, protože nemají zájem a vliv v dané věci.</w:t>
      </w:r>
    </w:p>
    <w:p w14:paraId="500640D8"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1AF28F9D"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Data získána při místním šetřením považujeme za věrohodná a pravdivá, protože byla porovnána znalcem s podklady za katastru nemovitostí aplikací třetích stran.</w:t>
      </w:r>
    </w:p>
    <w:p w14:paraId="667C3826" w14:textId="77777777" w:rsidR="000F35C3" w:rsidRDefault="000F35C3">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4682F9E6" w14:textId="77777777" w:rsidR="000F35C3" w:rsidRDefault="000F35C3">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CF0924" w14:paraId="291CA20C" w14:textId="77777777">
        <w:tc>
          <w:tcPr>
            <w:tcW w:w="9486" w:type="dxa"/>
            <w:tcBorders>
              <w:top w:val="single" w:sz="6" w:space="0" w:color="auto"/>
              <w:left w:val="single" w:sz="8" w:space="0" w:color="auto"/>
              <w:bottom w:val="single" w:sz="6" w:space="0" w:color="auto"/>
              <w:right w:val="nil"/>
            </w:tcBorders>
            <w:shd w:val="pct30" w:color="0080FF" w:fill="FFFFFF"/>
          </w:tcPr>
          <w:p w14:paraId="29B9BC35" w14:textId="77777777" w:rsidR="000F35C3" w:rsidRDefault="000F35C3">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3. NÁLEZ</w:t>
            </w:r>
          </w:p>
        </w:tc>
        <w:tc>
          <w:tcPr>
            <w:tcW w:w="152" w:type="dxa"/>
            <w:tcBorders>
              <w:top w:val="single" w:sz="6" w:space="0" w:color="auto"/>
              <w:left w:val="nil"/>
              <w:bottom w:val="single" w:sz="6" w:space="0" w:color="auto"/>
              <w:right w:val="single" w:sz="8" w:space="0" w:color="auto"/>
            </w:tcBorders>
            <w:shd w:val="pct30" w:color="0080FF" w:fill="FFFFFF"/>
          </w:tcPr>
          <w:p w14:paraId="5575F3F3" w14:textId="77777777" w:rsidR="000F35C3" w:rsidRDefault="000F35C3">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4A8167FF" w14:textId="77777777" w:rsidR="000F35C3" w:rsidRDefault="000F35C3">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617F7FF8" w14:textId="77777777" w:rsidR="000F35C3" w:rsidRDefault="000F35C3">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3.1. Popis postupu při sběru či tvorbě dat</w:t>
      </w:r>
    </w:p>
    <w:p w14:paraId="735D413B"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definovaných zdrojů dat je proveden z těchto souboru výběr dat dle níže naznačeného postupu.</w:t>
      </w:r>
    </w:p>
    <w:p w14:paraId="5B9C631A"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1992C13A"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nálezu je popsaná oceňovaná nemovitá věc, včetně jejího okolí. Data byla vytvořena na základě provedeného sběru informací z katastru nemovitostí, z místního šetření (fotodokumentace, popis nemovité věci, údaje od vlastníka, dlužníka, povinného nebo jiné osoby, byla-li místnímu šetření přítomna) a z aplikací třetích stran (mapové podklady, územním plán aj.).</w:t>
      </w:r>
    </w:p>
    <w:p w14:paraId="2E0B8D50"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0C38F53B"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 výpisu z listu vlastnictví jsou z katastru nemovitostí získány katastrální mapy předmětných oceňovaných nemovitých věcí, včetně souřadnic GNSS a také propojení s registrem územní identifikace, adres a nemovitostí (obsahuje také data o napojení nemovité věci na inženýrské sítě, způsob vytápění, zastavěnou plochu, konstrukci aj.). </w:t>
      </w:r>
    </w:p>
    <w:p w14:paraId="002490A2"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15CD532C"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Dle výše popsaného datového souboru oceňované nemovité věci jsou volena subjektivně kritéria pro výběr srovnávacích nemovitých věcí. Základní charakteristikou je prvotní vizuální podobnost vycházející z charakteru užívání nemovité věci, které jsou rozděleny v několika základních kategoriích: pozemky, byty, rodinné domy, které se dále děli dle jejich způsobu užívání. Podle kritérií je proveden výběr z nadefinované množiny vzorků. Kritéria jsou volena dle specifika oceňované věci subjektivně, viz níže bod 4.2. Jedná se např. o lokalitu, výměru pozemku, velikost, </w:t>
      </w:r>
      <w:proofErr w:type="gramStart"/>
      <w:r>
        <w:rPr>
          <w:rFonts w:ascii="Times New Roman" w:hAnsi="Times New Roman" w:cs="Times New Roman"/>
          <w:color w:val="000000"/>
          <w:kern w:val="0"/>
        </w:rPr>
        <w:t>stav,</w:t>
      </w:r>
      <w:proofErr w:type="gramEnd"/>
      <w:r>
        <w:rPr>
          <w:rFonts w:ascii="Times New Roman" w:hAnsi="Times New Roman" w:cs="Times New Roman"/>
          <w:color w:val="000000"/>
          <w:kern w:val="0"/>
        </w:rPr>
        <w:t xml:space="preserve"> atd.</w:t>
      </w:r>
    </w:p>
    <w:p w14:paraId="00FC7AEF"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7104CA4A"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Jako primární zdroj dat pro srovnávací vzorky slouží opět katastr nemovitostí (kupní cena=realizovaný prodej) a aplikace společnosti Valuo.cz, která propojuje data s katastrem nemovitostí a realitními inzeráty. Z realitní inzerce jsou získány fotografie, rozměry a popis srovnávacího vzorku. Z katastru nemovitostí je získán údaj o realizované (kupní) ceně. Je-li potřeba lze vyžádat také kopii kupní smlouvy. V případě, že nejsou podle zhotovených kritérií nalezeny vhodné vzorky dojde k pokusu o výběr z databáze společnosti RE\MAX či jiné realitní databáze, která taktéž jako Valuo.cz obsahuje fotografie, popis, rozměry a kupní cenu srovnávacího vzorku. Pokud ani v této databázi nejsou nalezeny vhodné vzorky dochází k vyhledání srovnávacího vzorku pouze na základě dat z katastru nemovitostí. V tomto případě jsou k dispozici pouze údaje o kupní ceně a RÚIAN, viz výše. Z aplikací třetích stran lze pak dohledat fotografie nemovité věci z veřejné komunikace, ale zpravidla staršího data. </w:t>
      </w:r>
    </w:p>
    <w:p w14:paraId="5FD1765E"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01B6EAEA"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Získána data jsou níže uvedena v přehledné tabulce v oddílu č. 4.2, kde je zobrazena fotografie objektu, jeho popis, výměra pozemku, identifikace pomocí adresy, kupní cena, včetně čísla řízení aj.</w:t>
      </w:r>
    </w:p>
    <w:p w14:paraId="615EC2A9" w14:textId="77777777" w:rsidR="000F35C3" w:rsidRDefault="000F35C3">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3.2. Popis postupu při zpracování dat</w:t>
      </w:r>
    </w:p>
    <w:p w14:paraId="0B5EBB52"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Vybrána data dle zadaných kritérií jsou zpracovávány v přehledných tabulkách, převážně včetně fotografií a popisů. U srovnávacích nemovitých věcí jsou také uvedeny realizované ceny se souvisejícími údaji. </w:t>
      </w:r>
    </w:p>
    <w:p w14:paraId="4C44EED0"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0B8A79FB" w14:textId="1A8BFD94" w:rsidR="000F35C3" w:rsidRDefault="000F35C3">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3.3. Výčet sebraných nebo vytvořených dat</w:t>
      </w:r>
    </w:p>
    <w:tbl>
      <w:tblPr>
        <w:tblW w:w="0" w:type="auto"/>
        <w:tblLayout w:type="fixed"/>
        <w:tblCellMar>
          <w:left w:w="0" w:type="dxa"/>
          <w:right w:w="0" w:type="dxa"/>
        </w:tblCellMar>
        <w:tblLook w:val="0000" w:firstRow="0" w:lastRow="0" w:firstColumn="0" w:lastColumn="0" w:noHBand="0" w:noVBand="0"/>
      </w:tblPr>
      <w:tblGrid>
        <w:gridCol w:w="2532"/>
        <w:gridCol w:w="7106"/>
      </w:tblGrid>
      <w:tr w:rsidR="00CF0924" w14:paraId="0B8528C3" w14:textId="77777777">
        <w:tc>
          <w:tcPr>
            <w:tcW w:w="2532" w:type="dxa"/>
            <w:tcBorders>
              <w:top w:val="nil"/>
              <w:left w:val="nil"/>
              <w:bottom w:val="nil"/>
              <w:right w:val="nil"/>
            </w:tcBorders>
          </w:tcPr>
          <w:p w14:paraId="5A76528C" w14:textId="77777777" w:rsidR="000F35C3" w:rsidRDefault="000F35C3">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Katastrální údaje:</w:t>
            </w:r>
          </w:p>
        </w:tc>
        <w:tc>
          <w:tcPr>
            <w:tcW w:w="7106" w:type="dxa"/>
            <w:tcBorders>
              <w:top w:val="nil"/>
              <w:left w:val="nil"/>
              <w:bottom w:val="nil"/>
              <w:right w:val="nil"/>
            </w:tcBorders>
          </w:tcPr>
          <w:p w14:paraId="08499FD3" w14:textId="77777777" w:rsidR="000F35C3" w:rsidRDefault="000F35C3">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kraj Karlovarský, okres Sokolov, obec Kynšperk nad Ohří, k.ú. Kynšperk nad Ohří</w:t>
            </w:r>
          </w:p>
        </w:tc>
      </w:tr>
      <w:tr w:rsidR="00CF0924" w14:paraId="5E95825E" w14:textId="77777777">
        <w:tc>
          <w:tcPr>
            <w:tcW w:w="2532" w:type="dxa"/>
            <w:tcBorders>
              <w:top w:val="nil"/>
              <w:left w:val="nil"/>
              <w:bottom w:val="nil"/>
              <w:right w:val="nil"/>
            </w:tcBorders>
          </w:tcPr>
          <w:p w14:paraId="0E7982C8" w14:textId="77777777" w:rsidR="000F35C3" w:rsidRDefault="000F35C3">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Adresa nemovité věci:</w:t>
            </w:r>
          </w:p>
        </w:tc>
        <w:tc>
          <w:tcPr>
            <w:tcW w:w="7106" w:type="dxa"/>
            <w:tcBorders>
              <w:top w:val="nil"/>
              <w:left w:val="nil"/>
              <w:bottom w:val="nil"/>
              <w:right w:val="nil"/>
            </w:tcBorders>
          </w:tcPr>
          <w:p w14:paraId="669AE023" w14:textId="77777777" w:rsidR="000F35C3" w:rsidRDefault="000F35C3">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J. K. Tyla 444/4, 357 51 Kynšperk nad Ohří</w:t>
            </w:r>
          </w:p>
        </w:tc>
      </w:tr>
    </w:tbl>
    <w:p w14:paraId="28B74051" w14:textId="77777777" w:rsidR="000F35C3" w:rsidRDefault="000F35C3">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t>Místopis</w:t>
      </w:r>
    </w:p>
    <w:p w14:paraId="192B3A0C"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Město Kynšperk nad Ohří se nachází v Karlovarském kraji, cca 13 km východně od města Cheb, cca 10 km jihozápadně od města Sokolov a cca 24 km severozápadně od města Mariánské Lázně. Jedná se o město s rozvinutou infrastrukturou a se středně rozšířenou nabídkou občanského vybavení. Rozšířená nabídka občanského vybavení je dostupná ve výše zmíněných městech. Ze vzdělávacích zařízení se ve městě nachází mateřské, základní a střední školy. Zdravotní péči ve městě zajišťují lékárny. Nákup zboží je dostupný v supermarketech. Ve městě se dále nachází pošta, divadlo, kino a knihovna. Dopravní obslužnost města zajišťují příměstské autobusy a vlaky.</w:t>
      </w:r>
    </w:p>
    <w:p w14:paraId="2A5E90F0"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08EB11F8"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Oceňovaná nemovitá věc se nachází v zastavěné části města Kynšperk nad Ohří v ulici J. K. Tyla č.p./č.o. 444/4 ve smíšené zástavbě.</w:t>
      </w:r>
    </w:p>
    <w:p w14:paraId="3D1D1536" w14:textId="77777777" w:rsidR="000F35C3" w:rsidRDefault="000F35C3">
      <w:pPr>
        <w:widowControl w:val="0"/>
        <w:autoSpaceDE w:val="0"/>
        <w:autoSpaceDN w:val="0"/>
        <w:adjustRightInd w:val="0"/>
        <w:spacing w:after="0" w:line="240" w:lineRule="auto"/>
        <w:jc w:val="both"/>
        <w:rPr>
          <w:rFonts w:ascii="Calibri" w:hAnsi="Calibri" w:cs="Calibri"/>
          <w:color w:val="000000"/>
          <w:kern w:val="0"/>
        </w:rPr>
      </w:pPr>
    </w:p>
    <w:p w14:paraId="1FC38259"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Zastávka autobusu „Kynšperk nad Ohří, aut.st.” se nachází cca 350 m od oceňované nemovité věci. Železniční stanice „Kynšperk nad Ohří” se nachází cca 2,4 km od oceňované nemovité věci.</w:t>
      </w:r>
    </w:p>
    <w:p w14:paraId="2A6C5FFC" w14:textId="77777777" w:rsidR="000F35C3" w:rsidRDefault="000F35C3">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t>Situace</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CF0924" w14:paraId="579C466F" w14:textId="77777777">
        <w:tc>
          <w:tcPr>
            <w:tcW w:w="2078" w:type="dxa"/>
            <w:tcBorders>
              <w:top w:val="nil"/>
              <w:left w:val="nil"/>
              <w:bottom w:val="nil"/>
              <w:right w:val="nil"/>
            </w:tcBorders>
          </w:tcPr>
          <w:p w14:paraId="1AAAFD3F" w14:textId="77777777" w:rsidR="000F35C3" w:rsidRDefault="000F35C3">
            <w:pPr>
              <w:widowControl w:val="0"/>
              <w:tabs>
                <w:tab w:val="left" w:pos="1440"/>
                <w:tab w:val="left" w:pos="2790"/>
                <w:tab w:val="left" w:pos="4230"/>
                <w:tab w:val="left" w:pos="549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Typ pozemku:</w:t>
            </w:r>
          </w:p>
        </w:tc>
        <w:tc>
          <w:tcPr>
            <w:tcW w:w="7560" w:type="dxa"/>
            <w:tcBorders>
              <w:top w:val="nil"/>
              <w:left w:val="nil"/>
              <w:bottom w:val="nil"/>
              <w:right w:val="nil"/>
            </w:tcBorders>
          </w:tcPr>
          <w:p w14:paraId="2CC2244B" w14:textId="77777777" w:rsidR="000F35C3" w:rsidRDefault="000F35C3">
            <w:pPr>
              <w:widowControl w:val="0"/>
              <w:tabs>
                <w:tab w:val="left" w:pos="288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zast. plocha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ostatní plocha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orná půda</w:t>
            </w:r>
          </w:p>
          <w:p w14:paraId="2EF712E2" w14:textId="77777777" w:rsidR="000F35C3" w:rsidRDefault="000F35C3">
            <w:pPr>
              <w:widowControl w:val="0"/>
              <w:tabs>
                <w:tab w:val="left" w:pos="288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w:t>
            </w:r>
            <w:r>
              <w:rPr>
                <w:rFonts w:ascii="Times New Roman" w:hAnsi="Times New Roman" w:cs="Times New Roman"/>
                <w:color w:val="000000"/>
                <w:kern w:val="0"/>
              </w:rPr>
              <w:t xml:space="preserve"> trvalé travní porosty</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zahrada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jiný</w:t>
            </w:r>
          </w:p>
        </w:tc>
      </w:tr>
      <w:tr w:rsidR="00CF0924" w14:paraId="0B44997A" w14:textId="77777777">
        <w:tc>
          <w:tcPr>
            <w:tcW w:w="2078" w:type="dxa"/>
            <w:tcBorders>
              <w:top w:val="nil"/>
              <w:left w:val="nil"/>
              <w:bottom w:val="nil"/>
              <w:right w:val="nil"/>
            </w:tcBorders>
          </w:tcPr>
          <w:p w14:paraId="21470477" w14:textId="77777777" w:rsidR="000F35C3" w:rsidRDefault="000F35C3">
            <w:pPr>
              <w:widowControl w:val="0"/>
              <w:tabs>
                <w:tab w:val="left" w:pos="1440"/>
                <w:tab w:val="left" w:pos="2790"/>
                <w:tab w:val="left" w:pos="4230"/>
                <w:tab w:val="left" w:pos="5490"/>
                <w:tab w:val="left" w:pos="567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Využití pozemků:</w:t>
            </w:r>
            <w:r>
              <w:rPr>
                <w:rFonts w:ascii="Times New Roman" w:hAnsi="Times New Roman" w:cs="Times New Roman"/>
                <w:color w:val="000000"/>
                <w:kern w:val="0"/>
              </w:rPr>
              <w:tab/>
            </w:r>
          </w:p>
        </w:tc>
        <w:tc>
          <w:tcPr>
            <w:tcW w:w="7560" w:type="dxa"/>
            <w:tcBorders>
              <w:top w:val="nil"/>
              <w:left w:val="nil"/>
              <w:bottom w:val="nil"/>
              <w:right w:val="nil"/>
            </w:tcBorders>
          </w:tcPr>
          <w:p w14:paraId="3C831189" w14:textId="77777777" w:rsidR="000F35C3" w:rsidRDefault="000F35C3">
            <w:pPr>
              <w:widowControl w:val="0"/>
              <w:tabs>
                <w:tab w:val="left" w:pos="1440"/>
                <w:tab w:val="left" w:pos="2880"/>
                <w:tab w:val="left" w:pos="423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w:t>
            </w:r>
            <w:r>
              <w:rPr>
                <w:rFonts w:ascii="Times New Roman" w:hAnsi="Times New Roman" w:cs="Times New Roman"/>
                <w:color w:val="000000"/>
                <w:kern w:val="0"/>
              </w:rPr>
              <w:t xml:space="preserve"> RD</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byty</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w:t>
            </w:r>
            <w:proofErr w:type="gramStart"/>
            <w:r>
              <w:rPr>
                <w:rFonts w:ascii="Times New Roman" w:hAnsi="Times New Roman" w:cs="Times New Roman"/>
                <w:color w:val="000000"/>
                <w:kern w:val="0"/>
              </w:rPr>
              <w:t>rekr.objekt</w:t>
            </w:r>
            <w:proofErr w:type="gramEnd"/>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garáže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jiné</w:t>
            </w:r>
          </w:p>
        </w:tc>
      </w:tr>
      <w:tr w:rsidR="00CF0924" w14:paraId="56BB520C" w14:textId="77777777">
        <w:tc>
          <w:tcPr>
            <w:tcW w:w="2078" w:type="dxa"/>
            <w:tcBorders>
              <w:top w:val="nil"/>
              <w:left w:val="nil"/>
              <w:bottom w:val="nil"/>
              <w:right w:val="nil"/>
            </w:tcBorders>
          </w:tcPr>
          <w:p w14:paraId="61C09597" w14:textId="77777777" w:rsidR="000F35C3" w:rsidRDefault="000F35C3">
            <w:pPr>
              <w:widowControl w:val="0"/>
              <w:tabs>
                <w:tab w:val="left" w:pos="1440"/>
                <w:tab w:val="left" w:pos="2790"/>
                <w:tab w:val="left" w:pos="4230"/>
                <w:tab w:val="left" w:pos="549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Okolí:</w:t>
            </w:r>
          </w:p>
        </w:tc>
        <w:tc>
          <w:tcPr>
            <w:tcW w:w="7560" w:type="dxa"/>
            <w:tcBorders>
              <w:top w:val="nil"/>
              <w:left w:val="nil"/>
              <w:bottom w:val="nil"/>
              <w:right w:val="nil"/>
            </w:tcBorders>
          </w:tcPr>
          <w:p w14:paraId="3437AB81" w14:textId="77777777" w:rsidR="000F35C3" w:rsidRDefault="000F35C3">
            <w:pPr>
              <w:widowControl w:val="0"/>
              <w:tabs>
                <w:tab w:val="left" w:pos="1440"/>
                <w:tab w:val="left" w:pos="2880"/>
                <w:tab w:val="left" w:pos="387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bytová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průmyslová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nákupní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ostatní</w:t>
            </w:r>
          </w:p>
        </w:tc>
      </w:tr>
      <w:tr w:rsidR="00CF0924" w14:paraId="17308BF4" w14:textId="77777777">
        <w:tc>
          <w:tcPr>
            <w:tcW w:w="2078" w:type="dxa"/>
            <w:tcBorders>
              <w:top w:val="nil"/>
              <w:left w:val="nil"/>
              <w:bottom w:val="nil"/>
              <w:right w:val="nil"/>
            </w:tcBorders>
          </w:tcPr>
          <w:p w14:paraId="6B477C8F" w14:textId="77777777" w:rsidR="000F35C3" w:rsidRDefault="000F35C3">
            <w:pPr>
              <w:widowControl w:val="0"/>
              <w:tabs>
                <w:tab w:val="left" w:pos="900"/>
                <w:tab w:val="left" w:pos="2070"/>
                <w:tab w:val="left" w:pos="351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Přípojky:</w:t>
            </w:r>
          </w:p>
        </w:tc>
        <w:tc>
          <w:tcPr>
            <w:tcW w:w="7560" w:type="dxa"/>
            <w:tcBorders>
              <w:top w:val="nil"/>
              <w:left w:val="nil"/>
              <w:bottom w:val="nil"/>
              <w:right w:val="nil"/>
            </w:tcBorders>
          </w:tcPr>
          <w:p w14:paraId="308270DD" w14:textId="77777777" w:rsidR="000F35C3" w:rsidRDefault="000F35C3">
            <w:pPr>
              <w:widowControl w:val="0"/>
              <w:tabs>
                <w:tab w:val="left" w:pos="1440"/>
                <w:tab w:val="left" w:pos="2880"/>
                <w:tab w:val="left" w:pos="3870"/>
                <w:tab w:val="left" w:pos="5670"/>
                <w:tab w:val="left" w:pos="711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voda</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kanalizace</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plyn</w:t>
            </w:r>
          </w:p>
        </w:tc>
      </w:tr>
      <w:tr w:rsidR="00CF0924" w14:paraId="07C3B7FD" w14:textId="77777777">
        <w:tc>
          <w:tcPr>
            <w:tcW w:w="2078" w:type="dxa"/>
            <w:tcBorders>
              <w:top w:val="nil"/>
              <w:left w:val="nil"/>
              <w:bottom w:val="nil"/>
              <w:right w:val="nil"/>
            </w:tcBorders>
          </w:tcPr>
          <w:p w14:paraId="3C75D5ED" w14:textId="77777777" w:rsidR="000F35C3" w:rsidRDefault="000F35C3">
            <w:pPr>
              <w:widowControl w:val="0"/>
              <w:tabs>
                <w:tab w:val="left" w:pos="900"/>
                <w:tab w:val="left" w:pos="2070"/>
                <w:tab w:val="left" w:pos="3510"/>
              </w:tabs>
              <w:autoSpaceDE w:val="0"/>
              <w:autoSpaceDN w:val="0"/>
              <w:adjustRightInd w:val="0"/>
              <w:spacing w:after="0" w:line="240" w:lineRule="auto"/>
              <w:ind w:left="300"/>
              <w:rPr>
                <w:rFonts w:ascii="Times New Roman" w:hAnsi="Times New Roman" w:cs="Times New Roman"/>
                <w:color w:val="000000"/>
                <w:kern w:val="0"/>
              </w:rPr>
            </w:pPr>
            <w:r>
              <w:rPr>
                <w:rFonts w:ascii="Times New Roman" w:hAnsi="Times New Roman" w:cs="Times New Roman"/>
                <w:color w:val="000000"/>
                <w:kern w:val="0"/>
              </w:rPr>
              <w:t>veř. / vl.</w:t>
            </w:r>
          </w:p>
        </w:tc>
        <w:tc>
          <w:tcPr>
            <w:tcW w:w="7560" w:type="dxa"/>
            <w:tcBorders>
              <w:top w:val="nil"/>
              <w:left w:val="nil"/>
              <w:bottom w:val="nil"/>
              <w:right w:val="nil"/>
            </w:tcBorders>
          </w:tcPr>
          <w:p w14:paraId="0F9CA71D" w14:textId="77777777" w:rsidR="000F35C3" w:rsidRDefault="000F35C3">
            <w:pPr>
              <w:widowControl w:val="0"/>
              <w:tabs>
                <w:tab w:val="left" w:pos="1440"/>
                <w:tab w:val="left" w:pos="2880"/>
                <w:tab w:val="left" w:pos="3870"/>
                <w:tab w:val="left" w:pos="5670"/>
                <w:tab w:val="left" w:pos="711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elektro</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telefon</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dálkové vytápění</w:t>
            </w:r>
          </w:p>
        </w:tc>
      </w:tr>
    </w:tbl>
    <w:p w14:paraId="7A761E14" w14:textId="77777777" w:rsidR="000F35C3" w:rsidRDefault="000F35C3">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Dopravní dostupnost (do 10 minut pěšky):</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MHD</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železnice</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autobus</w:t>
      </w:r>
    </w:p>
    <w:p w14:paraId="206CD5CF" w14:textId="77777777" w:rsidR="000F35C3" w:rsidRDefault="000F35C3">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Dopravní dostupnost (do 10 minut autem): </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dálnice/silnice I. tř. </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silnice II</w:t>
      </w:r>
      <w:proofErr w:type="gramStart"/>
      <w:r>
        <w:rPr>
          <w:rFonts w:ascii="Times New Roman" w:hAnsi="Times New Roman" w:cs="Times New Roman"/>
          <w:color w:val="000000"/>
          <w:kern w:val="0"/>
        </w:rPr>
        <w:t>.,III.tř.</w:t>
      </w:r>
      <w:proofErr w:type="gramEnd"/>
      <w:r>
        <w:rPr>
          <w:rFonts w:ascii="Times New Roman" w:hAnsi="Times New Roman" w:cs="Times New Roman"/>
          <w:color w:val="000000"/>
          <w:kern w:val="0"/>
        </w:rPr>
        <w:t xml:space="preserve"> </w:t>
      </w:r>
    </w:p>
    <w:p w14:paraId="0A533973" w14:textId="77777777" w:rsidR="000F35C3" w:rsidRDefault="000F35C3">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Poloha v obci:</w:t>
      </w:r>
      <w:r>
        <w:rPr>
          <w:rFonts w:ascii="Times New Roman" w:hAnsi="Times New Roman" w:cs="Times New Roman"/>
          <w:color w:val="000000"/>
          <w:kern w:val="0"/>
        </w:rPr>
        <w:tab/>
        <w:t xml:space="preserve">širší </w:t>
      </w:r>
      <w:proofErr w:type="gramStart"/>
      <w:r>
        <w:rPr>
          <w:rFonts w:ascii="Times New Roman" w:hAnsi="Times New Roman" w:cs="Times New Roman"/>
          <w:color w:val="000000"/>
          <w:kern w:val="0"/>
        </w:rPr>
        <w:t>centrum - smíšená</w:t>
      </w:r>
      <w:proofErr w:type="gramEnd"/>
      <w:r>
        <w:rPr>
          <w:rFonts w:ascii="Times New Roman" w:hAnsi="Times New Roman" w:cs="Times New Roman"/>
          <w:color w:val="000000"/>
          <w:kern w:val="0"/>
        </w:rPr>
        <w:t xml:space="preserve"> zástavba</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CF0924" w14:paraId="31D7B9F4" w14:textId="77777777">
        <w:tc>
          <w:tcPr>
            <w:tcW w:w="2078" w:type="dxa"/>
            <w:tcBorders>
              <w:top w:val="nil"/>
              <w:left w:val="nil"/>
              <w:bottom w:val="nil"/>
              <w:right w:val="nil"/>
            </w:tcBorders>
          </w:tcPr>
          <w:p w14:paraId="35CF9CB0" w14:textId="77777777" w:rsidR="000F35C3" w:rsidRDefault="000F35C3">
            <w:pPr>
              <w:widowControl w:val="0"/>
              <w:tabs>
                <w:tab w:val="left" w:pos="39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Přístup k pozemku</w:t>
            </w:r>
          </w:p>
        </w:tc>
        <w:tc>
          <w:tcPr>
            <w:tcW w:w="7560" w:type="dxa"/>
            <w:tcBorders>
              <w:top w:val="nil"/>
              <w:left w:val="nil"/>
              <w:bottom w:val="nil"/>
              <w:right w:val="nil"/>
            </w:tcBorders>
          </w:tcPr>
          <w:p w14:paraId="78BAD058" w14:textId="77777777" w:rsidR="000F35C3" w:rsidRDefault="000F35C3">
            <w:pPr>
              <w:widowControl w:val="0"/>
              <w:tabs>
                <w:tab w:val="left" w:pos="2880"/>
                <w:tab w:val="left" w:pos="423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zpevněná komunikace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nezpevněná komunikace</w:t>
            </w:r>
          </w:p>
        </w:tc>
      </w:tr>
    </w:tbl>
    <w:p w14:paraId="3C059464" w14:textId="77777777" w:rsidR="000F35C3" w:rsidRDefault="000F35C3">
      <w:pPr>
        <w:widowControl w:val="0"/>
        <w:tabs>
          <w:tab w:val="left" w:pos="3960"/>
        </w:tabs>
        <w:autoSpaceDE w:val="0"/>
        <w:autoSpaceDN w:val="0"/>
        <w:adjustRightInd w:val="0"/>
        <w:spacing w:before="227" w:after="113" w:line="240" w:lineRule="auto"/>
        <w:rPr>
          <w:rFonts w:ascii="Calibri" w:hAnsi="Calibri" w:cs="Calibri"/>
          <w:b/>
          <w:bCs/>
          <w:color w:val="000000"/>
          <w:kern w:val="0"/>
          <w:sz w:val="28"/>
          <w:szCs w:val="28"/>
        </w:rPr>
      </w:pPr>
      <w:r>
        <w:rPr>
          <w:rFonts w:ascii="Calibri" w:hAnsi="Calibri" w:cs="Calibri"/>
          <w:b/>
          <w:bCs/>
          <w:color w:val="000000"/>
          <w:kern w:val="0"/>
          <w:sz w:val="28"/>
          <w:szCs w:val="28"/>
        </w:rPr>
        <w:t>Přístup přes pozemky</w:t>
      </w:r>
    </w:p>
    <w:tbl>
      <w:tblPr>
        <w:tblW w:w="0" w:type="auto"/>
        <w:tblLayout w:type="fixed"/>
        <w:tblCellMar>
          <w:left w:w="0" w:type="dxa"/>
          <w:right w:w="0" w:type="dxa"/>
        </w:tblCellMar>
        <w:tblLook w:val="0000" w:firstRow="0" w:lastRow="0" w:firstColumn="0" w:lastColumn="0" w:noHBand="0" w:noVBand="0"/>
      </w:tblPr>
      <w:tblGrid>
        <w:gridCol w:w="755"/>
        <w:gridCol w:w="1512"/>
        <w:gridCol w:w="7371"/>
      </w:tblGrid>
      <w:tr w:rsidR="00CF0924" w14:paraId="352412FE" w14:textId="77777777">
        <w:tc>
          <w:tcPr>
            <w:tcW w:w="2267" w:type="dxa"/>
            <w:gridSpan w:val="2"/>
            <w:tcBorders>
              <w:top w:val="nil"/>
              <w:left w:val="nil"/>
              <w:bottom w:val="nil"/>
              <w:right w:val="nil"/>
            </w:tcBorders>
          </w:tcPr>
          <w:p w14:paraId="3D1A967F" w14:textId="77777777" w:rsidR="000F35C3" w:rsidRDefault="000F35C3">
            <w:pPr>
              <w:widowControl w:val="0"/>
              <w:tabs>
                <w:tab w:val="left" w:pos="3960"/>
              </w:tabs>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parc. č. 289</w:t>
            </w:r>
          </w:p>
        </w:tc>
        <w:tc>
          <w:tcPr>
            <w:tcW w:w="7371" w:type="dxa"/>
            <w:tcBorders>
              <w:top w:val="nil"/>
              <w:left w:val="nil"/>
              <w:bottom w:val="nil"/>
              <w:right w:val="nil"/>
            </w:tcBorders>
          </w:tcPr>
          <w:p w14:paraId="400C5BA1" w14:textId="77777777" w:rsidR="000F35C3" w:rsidRDefault="000F35C3">
            <w:pPr>
              <w:widowControl w:val="0"/>
              <w:autoSpaceDE w:val="0"/>
              <w:autoSpaceDN w:val="0"/>
              <w:adjustRightInd w:val="0"/>
              <w:spacing w:after="0" w:line="240" w:lineRule="auto"/>
              <w:ind w:left="30"/>
              <w:rPr>
                <w:rFonts w:ascii="Times New Roman" w:hAnsi="Times New Roman" w:cs="Times New Roman"/>
                <w:color w:val="000000"/>
                <w:kern w:val="0"/>
              </w:rPr>
            </w:pPr>
            <w:r>
              <w:rPr>
                <w:rFonts w:ascii="Times New Roman" w:hAnsi="Times New Roman" w:cs="Times New Roman"/>
                <w:color w:val="000000"/>
                <w:kern w:val="0"/>
              </w:rPr>
              <w:t>Město Kynšperk nad Ohří, Jana A. Komenského 221/13, 35751 Kynšperk nad Ohří</w:t>
            </w:r>
          </w:p>
        </w:tc>
      </w:tr>
      <w:tr w:rsidR="00CF0924" w14:paraId="0E0D3EE1" w14:textId="77777777">
        <w:trPr>
          <w:hidden/>
        </w:trPr>
        <w:tc>
          <w:tcPr>
            <w:tcW w:w="755" w:type="dxa"/>
            <w:tcBorders>
              <w:top w:val="nil"/>
              <w:left w:val="nil"/>
              <w:bottom w:val="nil"/>
              <w:right w:val="nil"/>
            </w:tcBorders>
          </w:tcPr>
          <w:p w14:paraId="43F97C81" w14:textId="77777777" w:rsidR="000F35C3" w:rsidRDefault="000F35C3">
            <w:pPr>
              <w:widowControl w:val="0"/>
              <w:tabs>
                <w:tab w:val="left" w:pos="3960"/>
              </w:tabs>
              <w:autoSpaceDE w:val="0"/>
              <w:autoSpaceDN w:val="0"/>
              <w:adjustRightInd w:val="0"/>
              <w:spacing w:after="0" w:line="240" w:lineRule="auto"/>
              <w:rPr>
                <w:rFonts w:ascii="Times New Roman" w:hAnsi="Times New Roman" w:cs="Times New Roman"/>
                <w:vanish/>
                <w:color w:val="000000"/>
                <w:kern w:val="0"/>
                <w:sz w:val="4"/>
                <w:szCs w:val="4"/>
              </w:rPr>
            </w:pPr>
          </w:p>
        </w:tc>
        <w:tc>
          <w:tcPr>
            <w:tcW w:w="1512" w:type="dxa"/>
            <w:tcBorders>
              <w:top w:val="nil"/>
              <w:left w:val="nil"/>
              <w:bottom w:val="nil"/>
              <w:right w:val="nil"/>
            </w:tcBorders>
          </w:tcPr>
          <w:p w14:paraId="552A3FB9" w14:textId="77777777" w:rsidR="000F35C3" w:rsidRDefault="000F35C3">
            <w:pPr>
              <w:widowControl w:val="0"/>
              <w:tabs>
                <w:tab w:val="left" w:pos="3960"/>
              </w:tabs>
              <w:autoSpaceDE w:val="0"/>
              <w:autoSpaceDN w:val="0"/>
              <w:adjustRightInd w:val="0"/>
              <w:spacing w:after="0" w:line="240" w:lineRule="auto"/>
              <w:rPr>
                <w:rFonts w:ascii="Times New Roman" w:hAnsi="Times New Roman" w:cs="Times New Roman"/>
                <w:color w:val="000000"/>
                <w:kern w:val="0"/>
                <w:sz w:val="4"/>
                <w:szCs w:val="4"/>
              </w:rPr>
            </w:pPr>
          </w:p>
        </w:tc>
        <w:tc>
          <w:tcPr>
            <w:tcW w:w="7371" w:type="dxa"/>
            <w:tcBorders>
              <w:top w:val="nil"/>
              <w:left w:val="nil"/>
              <w:bottom w:val="nil"/>
              <w:right w:val="nil"/>
            </w:tcBorders>
          </w:tcPr>
          <w:p w14:paraId="50DB7466" w14:textId="77777777" w:rsidR="000F35C3" w:rsidRDefault="000F35C3">
            <w:pPr>
              <w:widowControl w:val="0"/>
              <w:autoSpaceDE w:val="0"/>
              <w:autoSpaceDN w:val="0"/>
              <w:adjustRightInd w:val="0"/>
              <w:spacing w:after="0" w:line="240" w:lineRule="auto"/>
              <w:rPr>
                <w:rFonts w:ascii="Times New Roman" w:hAnsi="Times New Roman" w:cs="Times New Roman"/>
                <w:color w:val="000000"/>
                <w:kern w:val="0"/>
                <w:sz w:val="4"/>
                <w:szCs w:val="4"/>
              </w:rPr>
            </w:pPr>
          </w:p>
        </w:tc>
      </w:tr>
    </w:tbl>
    <w:p w14:paraId="17E34952" w14:textId="77777777" w:rsidR="000F35C3" w:rsidRDefault="000F35C3">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p>
    <w:p w14:paraId="2D31FEB4" w14:textId="05808AF6" w:rsidR="000F35C3" w:rsidRDefault="000F35C3">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br w:type="page"/>
      </w:r>
      <w:r>
        <w:rPr>
          <w:rFonts w:ascii="Calibri" w:hAnsi="Calibri" w:cs="Calibri"/>
          <w:b/>
          <w:bCs/>
          <w:color w:val="000000"/>
          <w:kern w:val="0"/>
          <w:sz w:val="28"/>
          <w:szCs w:val="28"/>
        </w:rPr>
        <w:lastRenderedPageBreak/>
        <w:t>Celkový popis nemovité věci</w:t>
      </w:r>
    </w:p>
    <w:p w14:paraId="7205055F"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Jedná se o samostatně stojící bytový dům zděné konstrukce se dvěma vchody a dvěma čísly popisnými. Dům je pravděpodobně založen na základových pasech. Budova má 5 nadzemních podlaží, kde se nacházejí jednotky a 1 podzemní podlaží, ve kterém jsou sklepy a společné prostory. V budově je výtah. V budově je celkem 31 jednotek, z toho 16 jednotek je v budově č.p. 444. Jednotlivé jednotky jsou přístupné z centrálního schodiště. Střecha budovy je valbová s krytinou z pálených tašek. Na střeše jsou žlaby se svody. Klempířské konstrukce jsou z pozinkovaného plechu. Součástí střechy je bleskosvod a komín. Stavebně-technický stav objektu je velmi dobrý. Vchodové dveře do budovy jsou plastové prosklené. Okna domu jsou plastová. Fasáda budovy je zateplená. Přístup k nemovité věci je po místní zpevněné komunikaci s chodníkem. Parkování je omezené v okolí domu.</w:t>
      </w:r>
    </w:p>
    <w:p w14:paraId="45AC0060"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72974E3F"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Oceňovaná jednotka č. 444/11 se nachází v budově č.p. 444 ve 4. NP a její dispozice je 3+1 (původně 2+1). Jednotka má hlavní místnosti orientované na severní, východní a západní světovou stranu. Vchodové dveře do bytu jsou dřevěné plné. Vnitřní dveře jsou dřevěné plné nebo částečně prosklené. Okna bytu jsou plastová s izolačním dvojsklem. Podlahy jsou kryté PVC nebo keramickou dlažbou. Obklady jsou keramické. Jádro bytu je po rekonstrukci ze sádrokartonu. V koupelně je sprchový kout a WC. V bytě byla provedena změna dispozice a částečná rekonstrukci.</w:t>
      </w:r>
    </w:p>
    <w:p w14:paraId="31A1ABE4"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224C1DFA"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Dispoziční řešení jednotky:</w:t>
      </w:r>
    </w:p>
    <w:p w14:paraId="5D26B29F"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vertAlign w:val="superscript"/>
        </w:rPr>
      </w:pPr>
      <w:r>
        <w:rPr>
          <w:rFonts w:ascii="Times New Roman" w:hAnsi="Times New Roman" w:cs="Times New Roman"/>
          <w:color w:val="000000"/>
          <w:kern w:val="0"/>
        </w:rPr>
        <w:t>kuchyň</w:t>
      </w:r>
      <w:r>
        <w:rPr>
          <w:rFonts w:ascii="Times New Roman" w:hAnsi="Times New Roman" w:cs="Times New Roman"/>
          <w:color w:val="000000"/>
          <w:kern w:val="0"/>
        </w:rPr>
        <w:tab/>
      </w:r>
      <w:r>
        <w:rPr>
          <w:rFonts w:ascii="Times New Roman" w:hAnsi="Times New Roman" w:cs="Times New Roman"/>
          <w:color w:val="000000"/>
          <w:kern w:val="0"/>
        </w:rPr>
        <w:tab/>
      </w:r>
      <w:proofErr w:type="gramStart"/>
      <w:r>
        <w:rPr>
          <w:rFonts w:ascii="Times New Roman" w:hAnsi="Times New Roman" w:cs="Times New Roman"/>
          <w:color w:val="000000"/>
          <w:kern w:val="0"/>
        </w:rPr>
        <w:tab/>
        <w:t xml:space="preserve">  7</w:t>
      </w:r>
      <w:proofErr w:type="gramEnd"/>
      <w:r>
        <w:rPr>
          <w:rFonts w:ascii="Times New Roman" w:hAnsi="Times New Roman" w:cs="Times New Roman"/>
          <w:color w:val="000000"/>
          <w:kern w:val="0"/>
        </w:rPr>
        <w:t>,56 m</w:t>
      </w:r>
      <w:r>
        <w:rPr>
          <w:rFonts w:ascii="Times New Roman" w:hAnsi="Times New Roman" w:cs="Times New Roman"/>
          <w:color w:val="000000"/>
          <w:kern w:val="0"/>
          <w:vertAlign w:val="superscript"/>
        </w:rPr>
        <w:t>2</w:t>
      </w:r>
    </w:p>
    <w:p w14:paraId="309F5D72"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vertAlign w:val="superscript"/>
        </w:rPr>
      </w:pPr>
      <w:r>
        <w:rPr>
          <w:rFonts w:ascii="Times New Roman" w:hAnsi="Times New Roman" w:cs="Times New Roman"/>
          <w:color w:val="000000"/>
          <w:kern w:val="0"/>
        </w:rPr>
        <w:t xml:space="preserve">pokoj </w:t>
      </w:r>
      <w:r>
        <w:rPr>
          <w:rFonts w:ascii="Times New Roman" w:hAnsi="Times New Roman" w:cs="Times New Roman"/>
          <w:color w:val="000000"/>
          <w:kern w:val="0"/>
        </w:rPr>
        <w:tab/>
      </w:r>
      <w:r>
        <w:rPr>
          <w:rFonts w:ascii="Times New Roman" w:hAnsi="Times New Roman" w:cs="Times New Roman"/>
          <w:color w:val="000000"/>
          <w:kern w:val="0"/>
        </w:rPr>
        <w:tab/>
      </w:r>
      <w:proofErr w:type="gramStart"/>
      <w:r>
        <w:rPr>
          <w:rFonts w:ascii="Times New Roman" w:hAnsi="Times New Roman" w:cs="Times New Roman"/>
          <w:color w:val="000000"/>
          <w:kern w:val="0"/>
        </w:rPr>
        <w:tab/>
        <w:t xml:space="preserve">  9</w:t>
      </w:r>
      <w:proofErr w:type="gramEnd"/>
      <w:r>
        <w:rPr>
          <w:rFonts w:ascii="Times New Roman" w:hAnsi="Times New Roman" w:cs="Times New Roman"/>
          <w:color w:val="000000"/>
          <w:kern w:val="0"/>
        </w:rPr>
        <w:t>,82 m</w:t>
      </w:r>
      <w:r>
        <w:rPr>
          <w:rFonts w:ascii="Times New Roman" w:hAnsi="Times New Roman" w:cs="Times New Roman"/>
          <w:color w:val="000000"/>
          <w:kern w:val="0"/>
          <w:vertAlign w:val="superscript"/>
        </w:rPr>
        <w:t>2</w:t>
      </w:r>
    </w:p>
    <w:p w14:paraId="6CD0B687" w14:textId="2F5FAD60"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vertAlign w:val="superscript"/>
        </w:rPr>
      </w:pPr>
      <w:r>
        <w:rPr>
          <w:rFonts w:ascii="Times New Roman" w:hAnsi="Times New Roman" w:cs="Times New Roman"/>
          <w:color w:val="000000"/>
          <w:kern w:val="0"/>
        </w:rPr>
        <w:t>pokoj</w:t>
      </w:r>
      <w:r>
        <w:rPr>
          <w:rFonts w:ascii="Times New Roman" w:hAnsi="Times New Roman" w:cs="Times New Roman"/>
          <w:color w:val="000000"/>
          <w:kern w:val="0"/>
        </w:rPr>
        <w:tab/>
      </w:r>
      <w:r>
        <w:rPr>
          <w:rFonts w:ascii="Times New Roman" w:hAnsi="Times New Roman" w:cs="Times New Roman"/>
          <w:color w:val="000000"/>
          <w:kern w:val="0"/>
        </w:rPr>
        <w:tab/>
      </w:r>
      <w:r>
        <w:rPr>
          <w:rFonts w:ascii="Times New Roman" w:hAnsi="Times New Roman" w:cs="Times New Roman"/>
          <w:color w:val="000000"/>
          <w:kern w:val="0"/>
        </w:rPr>
        <w:tab/>
        <w:t xml:space="preserve"> 11,55 m</w:t>
      </w:r>
      <w:r>
        <w:rPr>
          <w:rFonts w:ascii="Times New Roman" w:hAnsi="Times New Roman" w:cs="Times New Roman"/>
          <w:color w:val="000000"/>
          <w:kern w:val="0"/>
          <w:vertAlign w:val="superscript"/>
        </w:rPr>
        <w:t>2</w:t>
      </w:r>
    </w:p>
    <w:p w14:paraId="1DF74A43" w14:textId="048B0396"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vertAlign w:val="superscript"/>
        </w:rPr>
      </w:pPr>
      <w:r>
        <w:rPr>
          <w:rFonts w:ascii="Times New Roman" w:hAnsi="Times New Roman" w:cs="Times New Roman"/>
          <w:color w:val="000000"/>
          <w:kern w:val="0"/>
        </w:rPr>
        <w:t>pokoj</w:t>
      </w:r>
      <w:r>
        <w:rPr>
          <w:rFonts w:ascii="Times New Roman" w:hAnsi="Times New Roman" w:cs="Times New Roman"/>
          <w:color w:val="000000"/>
          <w:kern w:val="0"/>
        </w:rPr>
        <w:tab/>
      </w:r>
      <w:r>
        <w:rPr>
          <w:rFonts w:ascii="Times New Roman" w:hAnsi="Times New Roman" w:cs="Times New Roman"/>
          <w:color w:val="000000"/>
          <w:kern w:val="0"/>
        </w:rPr>
        <w:tab/>
      </w:r>
      <w:r>
        <w:rPr>
          <w:rFonts w:ascii="Times New Roman" w:hAnsi="Times New Roman" w:cs="Times New Roman"/>
          <w:color w:val="000000"/>
          <w:kern w:val="0"/>
        </w:rPr>
        <w:tab/>
        <w:t xml:space="preserve"> 13,18 m</w:t>
      </w:r>
      <w:r>
        <w:rPr>
          <w:rFonts w:ascii="Times New Roman" w:hAnsi="Times New Roman" w:cs="Times New Roman"/>
          <w:color w:val="000000"/>
          <w:kern w:val="0"/>
          <w:vertAlign w:val="superscript"/>
        </w:rPr>
        <w:t>2</w:t>
      </w:r>
    </w:p>
    <w:p w14:paraId="32E8B180"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chodba</w:t>
      </w:r>
      <w:r>
        <w:rPr>
          <w:rFonts w:ascii="Times New Roman" w:hAnsi="Times New Roman" w:cs="Times New Roman"/>
          <w:color w:val="000000"/>
          <w:kern w:val="0"/>
        </w:rPr>
        <w:tab/>
      </w:r>
      <w:r>
        <w:rPr>
          <w:rFonts w:ascii="Times New Roman" w:hAnsi="Times New Roman" w:cs="Times New Roman"/>
          <w:color w:val="000000"/>
          <w:kern w:val="0"/>
        </w:rPr>
        <w:tab/>
      </w:r>
      <w:proofErr w:type="gramStart"/>
      <w:r>
        <w:rPr>
          <w:rFonts w:ascii="Times New Roman" w:hAnsi="Times New Roman" w:cs="Times New Roman"/>
          <w:color w:val="000000"/>
          <w:kern w:val="0"/>
        </w:rPr>
        <w:tab/>
        <w:t xml:space="preserve">  4</w:t>
      </w:r>
      <w:proofErr w:type="gramEnd"/>
      <w:r>
        <w:rPr>
          <w:rFonts w:ascii="Times New Roman" w:hAnsi="Times New Roman" w:cs="Times New Roman"/>
          <w:color w:val="000000"/>
          <w:kern w:val="0"/>
        </w:rPr>
        <w:t>,96 m</w:t>
      </w:r>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w:t>
      </w:r>
    </w:p>
    <w:p w14:paraId="23EE4814"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koupelna + WC</w:t>
      </w:r>
      <w:proofErr w:type="gramStart"/>
      <w:r>
        <w:rPr>
          <w:rFonts w:ascii="Times New Roman" w:hAnsi="Times New Roman" w:cs="Times New Roman"/>
          <w:color w:val="000000"/>
          <w:kern w:val="0"/>
        </w:rPr>
        <w:tab/>
        <w:t xml:space="preserve">  2</w:t>
      </w:r>
      <w:proofErr w:type="gramEnd"/>
      <w:r>
        <w:rPr>
          <w:rFonts w:ascii="Times New Roman" w:hAnsi="Times New Roman" w:cs="Times New Roman"/>
          <w:color w:val="000000"/>
          <w:kern w:val="0"/>
        </w:rPr>
        <w:t>,86 m</w:t>
      </w:r>
      <w:r>
        <w:rPr>
          <w:rFonts w:ascii="Times New Roman" w:hAnsi="Times New Roman" w:cs="Times New Roman"/>
          <w:color w:val="000000"/>
          <w:kern w:val="0"/>
          <w:vertAlign w:val="superscript"/>
        </w:rPr>
        <w:t>2</w:t>
      </w:r>
      <w:r>
        <w:rPr>
          <w:rFonts w:ascii="Times New Roman" w:hAnsi="Times New Roman" w:cs="Times New Roman"/>
          <w:color w:val="000000"/>
          <w:kern w:val="0"/>
        </w:rPr>
        <w:tab/>
      </w:r>
    </w:p>
    <w:p w14:paraId="074FF32C"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u w:val="single"/>
          <w:vertAlign w:val="superscript"/>
        </w:rPr>
      </w:pPr>
      <w:r>
        <w:rPr>
          <w:rFonts w:ascii="Times New Roman" w:hAnsi="Times New Roman" w:cs="Times New Roman"/>
          <w:color w:val="000000"/>
          <w:kern w:val="0"/>
          <w:u w:val="single"/>
        </w:rPr>
        <w:t>sklep</w:t>
      </w:r>
      <w:r>
        <w:rPr>
          <w:rFonts w:ascii="Times New Roman" w:hAnsi="Times New Roman" w:cs="Times New Roman"/>
          <w:color w:val="000000"/>
          <w:kern w:val="0"/>
          <w:u w:val="single"/>
        </w:rPr>
        <w:tab/>
      </w:r>
      <w:r>
        <w:rPr>
          <w:rFonts w:ascii="Times New Roman" w:hAnsi="Times New Roman" w:cs="Times New Roman"/>
          <w:color w:val="000000"/>
          <w:kern w:val="0"/>
          <w:u w:val="single"/>
        </w:rPr>
        <w:tab/>
      </w:r>
      <w:proofErr w:type="gramStart"/>
      <w:r>
        <w:rPr>
          <w:rFonts w:ascii="Times New Roman" w:hAnsi="Times New Roman" w:cs="Times New Roman"/>
          <w:color w:val="000000"/>
          <w:kern w:val="0"/>
          <w:u w:val="single"/>
        </w:rPr>
        <w:tab/>
        <w:t xml:space="preserve">  4</w:t>
      </w:r>
      <w:proofErr w:type="gramEnd"/>
      <w:r>
        <w:rPr>
          <w:rFonts w:ascii="Times New Roman" w:hAnsi="Times New Roman" w:cs="Times New Roman"/>
          <w:color w:val="000000"/>
          <w:kern w:val="0"/>
          <w:u w:val="single"/>
        </w:rPr>
        <w:t>,40 m</w:t>
      </w:r>
      <w:r>
        <w:rPr>
          <w:rFonts w:ascii="Times New Roman" w:hAnsi="Times New Roman" w:cs="Times New Roman"/>
          <w:color w:val="000000"/>
          <w:kern w:val="0"/>
          <w:u w:val="single"/>
          <w:vertAlign w:val="superscript"/>
        </w:rPr>
        <w:t>2</w:t>
      </w:r>
    </w:p>
    <w:p w14:paraId="2130928A" w14:textId="64153E73"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vertAlign w:val="superscript"/>
        </w:rPr>
      </w:pPr>
      <w:r>
        <w:rPr>
          <w:rFonts w:ascii="Times New Roman" w:hAnsi="Times New Roman" w:cs="Times New Roman"/>
          <w:color w:val="000000"/>
          <w:kern w:val="0"/>
        </w:rPr>
        <w:t>užitná plocha</w:t>
      </w:r>
      <w:r>
        <w:rPr>
          <w:rFonts w:ascii="Times New Roman" w:hAnsi="Times New Roman" w:cs="Times New Roman"/>
          <w:color w:val="000000"/>
          <w:kern w:val="0"/>
        </w:rPr>
        <w:tab/>
      </w:r>
      <w:r>
        <w:rPr>
          <w:rFonts w:ascii="Times New Roman" w:hAnsi="Times New Roman" w:cs="Times New Roman"/>
          <w:color w:val="000000"/>
          <w:kern w:val="0"/>
        </w:rPr>
        <w:tab/>
        <w:t xml:space="preserve"> </w:t>
      </w:r>
      <w:r>
        <w:rPr>
          <w:rFonts w:ascii="Times New Roman" w:hAnsi="Times New Roman" w:cs="Times New Roman"/>
          <w:b/>
          <w:bCs/>
          <w:color w:val="000000"/>
          <w:kern w:val="0"/>
        </w:rPr>
        <w:t>54,33</w:t>
      </w:r>
      <w:r>
        <w:rPr>
          <w:rFonts w:ascii="Times New Roman" w:hAnsi="Times New Roman" w:cs="Times New Roman"/>
          <w:color w:val="000000"/>
          <w:kern w:val="0"/>
        </w:rPr>
        <w:t xml:space="preserve"> m</w:t>
      </w:r>
      <w:r>
        <w:rPr>
          <w:rFonts w:ascii="Times New Roman" w:hAnsi="Times New Roman" w:cs="Times New Roman"/>
          <w:color w:val="000000"/>
          <w:kern w:val="0"/>
          <w:vertAlign w:val="superscript"/>
        </w:rPr>
        <w:t>2</w:t>
      </w:r>
    </w:p>
    <w:p w14:paraId="5F726A68"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4369136A"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Užitná plocha jednotky s příslušenstvím je 54,33 m</w:t>
      </w:r>
      <w:r>
        <w:rPr>
          <w:rFonts w:ascii="Times New Roman" w:hAnsi="Times New Roman" w:cs="Times New Roman"/>
          <w:color w:val="000000"/>
          <w:kern w:val="0"/>
          <w:vertAlign w:val="superscript"/>
        </w:rPr>
        <w:t>2</w:t>
      </w:r>
      <w:r>
        <w:rPr>
          <w:rFonts w:ascii="Times New Roman" w:hAnsi="Times New Roman" w:cs="Times New Roman"/>
          <w:color w:val="000000"/>
          <w:kern w:val="0"/>
        </w:rPr>
        <w:t>. Užitná plocha bytu byla určena z naměřených údajů při ohledání a plocha sklepa byla převzata z kopie prohlášení vlastníka (do sklepa nebyl umožněn přístup). K jednotce patří podíl na společných částech domu a pozemku o velikosti 544/16779.</w:t>
      </w:r>
    </w:p>
    <w:p w14:paraId="311A981C"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644A3267"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 inženýrských sítí je nemovitá věc napojena na veřejný vodovod, kanalizaci, plynovod a elektřinu. Vytápění bytu je ústřední. Ohřev teplé vody je centrální. Přípojky nebylo možné ověřit. </w:t>
      </w:r>
    </w:p>
    <w:p w14:paraId="0D7C7728"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7AF3F5EC"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pozemku parc. č. 169 (LV 1464) stojí bytový dům s č.p. 443, 444. Pozemek je obdélníkového tvaru. V Katastru nemovitostí je veden jako zastavěná plocha a nádvoří. Celková plocha pozemku je 438 m</w:t>
      </w:r>
      <w:r>
        <w:rPr>
          <w:rFonts w:ascii="Times New Roman" w:hAnsi="Times New Roman" w:cs="Times New Roman"/>
          <w:color w:val="000000"/>
          <w:kern w:val="0"/>
          <w:vertAlign w:val="superscript"/>
        </w:rPr>
        <w:t>2</w:t>
      </w:r>
      <w:r>
        <w:rPr>
          <w:rFonts w:ascii="Times New Roman" w:hAnsi="Times New Roman" w:cs="Times New Roman"/>
          <w:color w:val="000000"/>
          <w:kern w:val="0"/>
        </w:rPr>
        <w:t>. Pozemek je v podílovém spoluvlastnictví jednotlivých vlastníků jednotek. Pozemek je přístupný přes pozemek parc. č. 289, který je ve vlastnictví města Kynšperk nad Ohří.</w:t>
      </w:r>
    </w:p>
    <w:p w14:paraId="7C2E4801"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168D5683"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Příslušenstvím nemovité věci je sklep. Tyto skutečnosti jsou zohledněny ve výsledné ceně obvyklé.</w:t>
      </w:r>
    </w:p>
    <w:p w14:paraId="473C94B7"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7A220200"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Nájemní smlouvy nebyly zjištěny. Věcná břemena nebyla zjištěna.</w:t>
      </w:r>
    </w:p>
    <w:p w14:paraId="05B3ABD2"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58D34777"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Ohledání bylo provedeno dne 20.1.2026. Bylo provedeno vnitřní ohledání.</w:t>
      </w:r>
    </w:p>
    <w:p w14:paraId="65778E97" w14:textId="77777777" w:rsidR="000F35C3" w:rsidRDefault="000F35C3">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36A612DE" w14:textId="77777777" w:rsidR="000F35C3" w:rsidRDefault="000F35C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0" w:line="240" w:lineRule="auto"/>
        <w:rPr>
          <w:rFonts w:ascii="Calibri" w:hAnsi="Calibri" w:cs="Calibri"/>
          <w:b/>
          <w:bCs/>
          <w:color w:val="000000"/>
          <w:kern w:val="0"/>
          <w:sz w:val="32"/>
          <w:szCs w:val="32"/>
        </w:rPr>
      </w:pPr>
      <w:r>
        <w:rPr>
          <w:rFonts w:ascii="Calibri" w:hAnsi="Calibri" w:cs="Calibri"/>
          <w:b/>
          <w:bCs/>
          <w:color w:val="000000"/>
          <w:kern w:val="0"/>
          <w:sz w:val="32"/>
          <w:szCs w:val="32"/>
        </w:rPr>
        <w:lastRenderedPageBreak/>
        <w:t>Rizika</w:t>
      </w:r>
    </w:p>
    <w:p w14:paraId="1C2EAA97" w14:textId="77777777" w:rsidR="000F35C3" w:rsidRDefault="000F35C3">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113"/>
        <w:gridCol w:w="152"/>
      </w:tblGrid>
      <w:tr w:rsidR="00CF0924" w14:paraId="6E17F3B7" w14:textId="77777777">
        <w:tc>
          <w:tcPr>
            <w:tcW w:w="9486" w:type="dxa"/>
            <w:gridSpan w:val="3"/>
            <w:tcBorders>
              <w:top w:val="single" w:sz="6" w:space="0" w:color="auto"/>
              <w:left w:val="single" w:sz="8" w:space="0" w:color="auto"/>
              <w:bottom w:val="nil"/>
              <w:right w:val="nil"/>
            </w:tcBorders>
          </w:tcPr>
          <w:p w14:paraId="45531176" w14:textId="2ED00751" w:rsidR="000F35C3" w:rsidRDefault="000F35C3">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Rizika spojená s právním stavem nemovité věci:  </w:t>
            </w:r>
          </w:p>
        </w:tc>
        <w:tc>
          <w:tcPr>
            <w:tcW w:w="152" w:type="dxa"/>
            <w:tcBorders>
              <w:top w:val="single" w:sz="6" w:space="0" w:color="auto"/>
              <w:left w:val="nil"/>
              <w:bottom w:val="nil"/>
              <w:right w:val="single" w:sz="8" w:space="0" w:color="auto"/>
            </w:tcBorders>
          </w:tcPr>
          <w:p w14:paraId="1ED1B4F6" w14:textId="77777777" w:rsidR="000F35C3" w:rsidRDefault="000F35C3">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CF0924" w14:paraId="707FF0A5" w14:textId="77777777">
        <w:tc>
          <w:tcPr>
            <w:tcW w:w="1020" w:type="dxa"/>
            <w:tcBorders>
              <w:top w:val="nil"/>
              <w:left w:val="single" w:sz="8" w:space="0" w:color="auto"/>
              <w:bottom w:val="nil"/>
              <w:right w:val="nil"/>
            </w:tcBorders>
          </w:tcPr>
          <w:p w14:paraId="27EDB615" w14:textId="77777777" w:rsidR="000F35C3" w:rsidRDefault="000F35C3">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656F0E2E" w14:textId="77777777" w:rsidR="000F35C3" w:rsidRDefault="000F35C3">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Nemovitá věc je řádně zapsána v katastru nemovitostí</w:t>
            </w:r>
          </w:p>
        </w:tc>
      </w:tr>
      <w:tr w:rsidR="00CF0924" w14:paraId="07BDE657" w14:textId="77777777">
        <w:tc>
          <w:tcPr>
            <w:tcW w:w="1020" w:type="dxa"/>
            <w:tcBorders>
              <w:top w:val="nil"/>
              <w:left w:val="single" w:sz="8" w:space="0" w:color="auto"/>
              <w:bottom w:val="nil"/>
              <w:right w:val="nil"/>
            </w:tcBorders>
          </w:tcPr>
          <w:p w14:paraId="773FE665" w14:textId="77777777" w:rsidR="000F35C3" w:rsidRDefault="000F35C3">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6976A5A7" w14:textId="77777777" w:rsidR="000F35C3" w:rsidRDefault="000F35C3">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Stav stavby umožňuje podpis zástavní smlouvy (vznikla věc)</w:t>
            </w:r>
          </w:p>
        </w:tc>
      </w:tr>
      <w:tr w:rsidR="00CF0924" w14:paraId="2394FB83" w14:textId="77777777">
        <w:tc>
          <w:tcPr>
            <w:tcW w:w="1020" w:type="dxa"/>
            <w:tcBorders>
              <w:top w:val="nil"/>
              <w:left w:val="single" w:sz="8" w:space="0" w:color="auto"/>
              <w:bottom w:val="nil"/>
              <w:right w:val="nil"/>
            </w:tcBorders>
          </w:tcPr>
          <w:p w14:paraId="1B3A55F3" w14:textId="77777777" w:rsidR="000F35C3" w:rsidRDefault="000F35C3">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2800038D" w14:textId="77777777" w:rsidR="000F35C3" w:rsidRDefault="000F35C3">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Skutečné užívání stavby není v rozporu s její kolaudací</w:t>
            </w:r>
          </w:p>
        </w:tc>
      </w:tr>
      <w:tr w:rsidR="00CF0924" w14:paraId="40A8C8E1" w14:textId="77777777">
        <w:tc>
          <w:tcPr>
            <w:tcW w:w="1020" w:type="dxa"/>
            <w:tcBorders>
              <w:top w:val="nil"/>
              <w:left w:val="single" w:sz="8" w:space="0" w:color="auto"/>
              <w:bottom w:val="nil"/>
              <w:right w:val="nil"/>
            </w:tcBorders>
          </w:tcPr>
          <w:p w14:paraId="2581886A" w14:textId="77777777" w:rsidR="000F35C3" w:rsidRDefault="000F35C3">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755B0A58" w14:textId="77777777" w:rsidR="000F35C3" w:rsidRDefault="000F35C3">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Přístup k nemovité věci je zajištěn přímo z veřejné komunikace</w:t>
            </w:r>
          </w:p>
        </w:tc>
      </w:tr>
      <w:tr w:rsidR="00CF0924" w14:paraId="1D3F4736" w14:textId="77777777">
        <w:tc>
          <w:tcPr>
            <w:tcW w:w="9373" w:type="dxa"/>
            <w:gridSpan w:val="2"/>
            <w:tcBorders>
              <w:top w:val="single" w:sz="8" w:space="0" w:color="auto"/>
              <w:left w:val="nil"/>
              <w:bottom w:val="nil"/>
              <w:right w:val="nil"/>
            </w:tcBorders>
          </w:tcPr>
          <w:p w14:paraId="262F43C5" w14:textId="77777777" w:rsidR="000F35C3" w:rsidRDefault="000F35C3">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gridSpan w:val="2"/>
            <w:tcBorders>
              <w:top w:val="single" w:sz="8" w:space="0" w:color="auto"/>
              <w:left w:val="nil"/>
              <w:bottom w:val="nil"/>
              <w:right w:val="nil"/>
            </w:tcBorders>
          </w:tcPr>
          <w:p w14:paraId="7E47A2D8" w14:textId="77777777" w:rsidR="000F35C3" w:rsidRDefault="000F35C3">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1F9B9725" w14:textId="77777777" w:rsidR="000F35C3" w:rsidRDefault="000F35C3">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CF0924" w14:paraId="056E4CE9" w14:textId="77777777">
        <w:tc>
          <w:tcPr>
            <w:tcW w:w="9373" w:type="dxa"/>
            <w:gridSpan w:val="2"/>
            <w:tcBorders>
              <w:top w:val="single" w:sz="6" w:space="0" w:color="auto"/>
              <w:left w:val="single" w:sz="8" w:space="0" w:color="auto"/>
              <w:bottom w:val="nil"/>
              <w:right w:val="nil"/>
            </w:tcBorders>
          </w:tcPr>
          <w:p w14:paraId="2F022695" w14:textId="368FFD84" w:rsidR="000F35C3" w:rsidRDefault="000F35C3">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Rizika spojená s umístěním nemovité věci:  </w:t>
            </w:r>
          </w:p>
        </w:tc>
        <w:tc>
          <w:tcPr>
            <w:tcW w:w="265" w:type="dxa"/>
            <w:tcBorders>
              <w:top w:val="single" w:sz="6" w:space="0" w:color="auto"/>
              <w:left w:val="nil"/>
              <w:bottom w:val="nil"/>
              <w:right w:val="single" w:sz="8" w:space="0" w:color="auto"/>
            </w:tcBorders>
          </w:tcPr>
          <w:p w14:paraId="008EE831" w14:textId="77777777" w:rsidR="000F35C3" w:rsidRDefault="000F35C3">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CF0924" w14:paraId="034BC0F0" w14:textId="77777777">
        <w:tc>
          <w:tcPr>
            <w:tcW w:w="1020" w:type="dxa"/>
            <w:tcBorders>
              <w:top w:val="nil"/>
              <w:left w:val="single" w:sz="8" w:space="0" w:color="auto"/>
              <w:bottom w:val="nil"/>
              <w:right w:val="nil"/>
            </w:tcBorders>
          </w:tcPr>
          <w:p w14:paraId="73894775" w14:textId="77777777" w:rsidR="000F35C3" w:rsidRDefault="000F35C3">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2"/>
            <w:tcBorders>
              <w:top w:val="nil"/>
              <w:left w:val="nil"/>
              <w:bottom w:val="nil"/>
              <w:right w:val="single" w:sz="8" w:space="0" w:color="auto"/>
            </w:tcBorders>
          </w:tcPr>
          <w:p w14:paraId="74873D68" w14:textId="77777777" w:rsidR="000F35C3" w:rsidRDefault="000F35C3">
            <w:pPr>
              <w:widowControl w:val="0"/>
              <w:tabs>
                <w:tab w:val="left" w:pos="90"/>
                <w:tab w:val="left" w:pos="360"/>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Nemovitá věc není situována v záplavovém území</w:t>
            </w:r>
          </w:p>
        </w:tc>
      </w:tr>
      <w:tr w:rsidR="00CF0924" w14:paraId="11977CAE" w14:textId="77777777">
        <w:tc>
          <w:tcPr>
            <w:tcW w:w="9373" w:type="dxa"/>
            <w:gridSpan w:val="2"/>
            <w:tcBorders>
              <w:top w:val="single" w:sz="8" w:space="0" w:color="auto"/>
              <w:left w:val="nil"/>
              <w:bottom w:val="nil"/>
              <w:right w:val="nil"/>
            </w:tcBorders>
          </w:tcPr>
          <w:p w14:paraId="0C3557EF" w14:textId="77777777" w:rsidR="000F35C3" w:rsidRDefault="000F35C3">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tcBorders>
              <w:top w:val="single" w:sz="8" w:space="0" w:color="auto"/>
              <w:left w:val="nil"/>
              <w:bottom w:val="nil"/>
              <w:right w:val="nil"/>
            </w:tcBorders>
          </w:tcPr>
          <w:p w14:paraId="757B2DC3" w14:textId="77777777" w:rsidR="000F35C3" w:rsidRDefault="000F35C3">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7B96EAA9" w14:textId="77777777" w:rsidR="000F35C3" w:rsidRDefault="000F35C3">
      <w:pPr>
        <w:widowControl w:val="0"/>
        <w:tabs>
          <w:tab w:val="left" w:pos="5490"/>
        </w:tabs>
        <w:autoSpaceDE w:val="0"/>
        <w:autoSpaceDN w:val="0"/>
        <w:adjustRightInd w:val="0"/>
        <w:spacing w:before="20" w:after="20" w:line="240" w:lineRule="auto"/>
        <w:rPr>
          <w:rFonts w:ascii="Times New Roman" w:hAnsi="Times New Roman" w:cs="Times New Roman"/>
          <w:color w:val="000000"/>
          <w:kern w:val="0"/>
          <w:sz w:val="16"/>
          <w:szCs w:val="16"/>
        </w:rPr>
      </w:pPr>
    </w:p>
    <w:p w14:paraId="4CFD8698" w14:textId="77777777" w:rsidR="000F35C3" w:rsidRDefault="000F35C3" w:rsidP="000F35C3">
      <w:pPr>
        <w:widowControl w:val="0"/>
        <w:tabs>
          <w:tab w:val="left" w:pos="5490"/>
        </w:tabs>
        <w:autoSpaceDE w:val="0"/>
        <w:autoSpaceDN w:val="0"/>
        <w:adjustRightInd w:val="0"/>
        <w:spacing w:before="227" w:after="57" w:line="240" w:lineRule="atLeast"/>
        <w:jc w:val="both"/>
        <w:rPr>
          <w:rFonts w:ascii="Calibri" w:hAnsi="Calibri" w:cs="Calibri"/>
          <w:color w:val="000000"/>
          <w:kern w:val="0"/>
          <w:sz w:val="32"/>
          <w:szCs w:val="32"/>
        </w:rPr>
      </w:pPr>
      <w:r>
        <w:rPr>
          <w:rFonts w:ascii="Calibri" w:hAnsi="Calibri" w:cs="Calibri"/>
          <w:b/>
          <w:bCs/>
          <w:color w:val="000000"/>
          <w:kern w:val="0"/>
          <w:sz w:val="32"/>
          <w:szCs w:val="32"/>
        </w:rPr>
        <w:t>3.4. Stanovení kritérií výběru</w:t>
      </w:r>
      <w:r>
        <w:rPr>
          <w:rFonts w:ascii="Calibri" w:hAnsi="Calibri" w:cs="Calibri"/>
          <w:color w:val="000000"/>
          <w:kern w:val="0"/>
          <w:sz w:val="32"/>
          <w:szCs w:val="32"/>
        </w:rPr>
        <w:t xml:space="preserve"> </w:t>
      </w:r>
    </w:p>
    <w:p w14:paraId="352166A9"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Na základě popisu nemovité věci byla stanovena kritéria pro výběr srovnávacích nemovitých věcí jako koeficienty (K2-K7) podobnosti v tomto zpravovaném znaleckém posudku viz 4.2. </w:t>
      </w:r>
    </w:p>
    <w:p w14:paraId="5D6C3B62"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p>
    <w:p w14:paraId="1C2EFE36"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vyhodnocení kritérií byly nalezeny v katastru nemovitostí 3 srovnatelné realizované transakce, jak jsou popsané v části 4.2.</w:t>
      </w:r>
    </w:p>
    <w:p w14:paraId="51DB2EC4"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p>
    <w:p w14:paraId="5437E287" w14:textId="609DE42D" w:rsidR="000F35C3" w:rsidRDefault="000F35C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br w:type="page"/>
      </w: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CF0924" w14:paraId="6DDB00BB" w14:textId="77777777">
        <w:tc>
          <w:tcPr>
            <w:tcW w:w="9486" w:type="dxa"/>
            <w:tcBorders>
              <w:top w:val="single" w:sz="6" w:space="0" w:color="auto"/>
              <w:left w:val="single" w:sz="8" w:space="0" w:color="auto"/>
              <w:bottom w:val="single" w:sz="6" w:space="0" w:color="auto"/>
              <w:right w:val="nil"/>
            </w:tcBorders>
            <w:shd w:val="pct30" w:color="0080FF" w:fill="FFFFFF"/>
          </w:tcPr>
          <w:p w14:paraId="7EFA4069" w14:textId="77777777" w:rsidR="000F35C3" w:rsidRDefault="000F35C3">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lastRenderedPageBreak/>
              <w:t>4. POSUDEK</w:t>
            </w:r>
          </w:p>
        </w:tc>
        <w:tc>
          <w:tcPr>
            <w:tcW w:w="152" w:type="dxa"/>
            <w:tcBorders>
              <w:top w:val="single" w:sz="6" w:space="0" w:color="auto"/>
              <w:left w:val="nil"/>
              <w:bottom w:val="single" w:sz="6" w:space="0" w:color="auto"/>
              <w:right w:val="single" w:sz="8" w:space="0" w:color="auto"/>
            </w:tcBorders>
            <w:shd w:val="pct30" w:color="0080FF" w:fill="FFFFFF"/>
          </w:tcPr>
          <w:p w14:paraId="61860782" w14:textId="77777777" w:rsidR="000F35C3" w:rsidRDefault="000F35C3">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05B80577" w14:textId="77777777" w:rsidR="000F35C3" w:rsidRDefault="000F35C3">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7FB65FB2" w14:textId="77777777" w:rsidR="000F35C3" w:rsidRDefault="000F35C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4.1. Popis postupu při analýze dat</w:t>
      </w:r>
    </w:p>
    <w:p w14:paraId="12823C15"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Použitý vybraný srovnávací vzorek dle námi stanovených kritérií byl podroben vyhodnocení v námi nadefinovaných parametrech primárně porovnávací metodou, v kterých byly subjektivně hodnoceny jednotlivé odlišnosti od oceňované nemovité věci. Při analýze dat se zohledňují jednotlivé odlišnosti přirážkou nebo srážkou s ohledem také na slabé a silné stránky oceňované nemovité věci.  </w:t>
      </w:r>
    </w:p>
    <w:p w14:paraId="2947B464"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3EE03419"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Kritéria pro výběr srovnávacích nemovitých věcí byla stanovena následovně:</w:t>
      </w:r>
    </w:p>
    <w:p w14:paraId="3A3B7FC5"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17A1767F"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velikost bytů od 50 m</w:t>
      </w:r>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do 60 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p w14:paraId="284B9605"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způsob využití jednotky: byt,</w:t>
      </w:r>
    </w:p>
    <w:p w14:paraId="76C6F3E9"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lokalita: Kynšperk nad Ohří.</w:t>
      </w:r>
    </w:p>
    <w:p w14:paraId="49883764" w14:textId="77777777" w:rsidR="000F35C3" w:rsidRDefault="000F35C3">
      <w:pPr>
        <w:widowControl w:val="0"/>
        <w:tabs>
          <w:tab w:val="left" w:pos="5490"/>
        </w:tabs>
        <w:autoSpaceDE w:val="0"/>
        <w:autoSpaceDN w:val="0"/>
        <w:adjustRightInd w:val="0"/>
        <w:spacing w:before="113"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4.2. Ocenění</w:t>
      </w:r>
    </w:p>
    <w:p w14:paraId="09C1DA03" w14:textId="77777777" w:rsidR="000F35C3" w:rsidRDefault="000F35C3">
      <w:pPr>
        <w:widowControl w:val="0"/>
        <w:tabs>
          <w:tab w:val="left" w:pos="4230"/>
        </w:tabs>
        <w:autoSpaceDE w:val="0"/>
        <w:autoSpaceDN w:val="0"/>
        <w:adjustRightInd w:val="0"/>
        <w:spacing w:before="113" w:after="0" w:line="240" w:lineRule="auto"/>
        <w:rPr>
          <w:rFonts w:ascii="Times New Roman" w:hAnsi="Times New Roman" w:cs="Times New Roman"/>
          <w:b/>
          <w:bCs/>
          <w:color w:val="000000"/>
          <w:kern w:val="0"/>
          <w:sz w:val="26"/>
          <w:szCs w:val="26"/>
        </w:rPr>
      </w:pPr>
      <w:r>
        <w:rPr>
          <w:rFonts w:ascii="Times New Roman" w:hAnsi="Times New Roman" w:cs="Times New Roman"/>
          <w:b/>
          <w:bCs/>
          <w:color w:val="000000"/>
          <w:kern w:val="0"/>
          <w:sz w:val="26"/>
          <w:szCs w:val="26"/>
        </w:rPr>
        <w:t>1. Porovnávací hodnota</w:t>
      </w:r>
    </w:p>
    <w:p w14:paraId="6CD56108" w14:textId="77777777" w:rsidR="000F35C3" w:rsidRDefault="000F35C3">
      <w:pPr>
        <w:widowControl w:val="0"/>
        <w:tabs>
          <w:tab w:val="left" w:pos="4230"/>
        </w:tabs>
        <w:autoSpaceDE w:val="0"/>
        <w:autoSpaceDN w:val="0"/>
        <w:adjustRightInd w:val="0"/>
        <w:spacing w:before="113"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1.1. Jednotka č. 444/11 Kynšperk nad Ohří</w:t>
      </w:r>
    </w:p>
    <w:tbl>
      <w:tblPr>
        <w:tblW w:w="0" w:type="auto"/>
        <w:tblInd w:w="10" w:type="dxa"/>
        <w:tblLayout w:type="fixed"/>
        <w:tblCellMar>
          <w:left w:w="0" w:type="dxa"/>
          <w:right w:w="0" w:type="dxa"/>
        </w:tblCellMar>
        <w:tblLook w:val="0000" w:firstRow="0" w:lastRow="0" w:firstColumn="0" w:lastColumn="0" w:noHBand="0" w:noVBand="0"/>
      </w:tblPr>
      <w:tblGrid>
        <w:gridCol w:w="2985"/>
        <w:gridCol w:w="6539"/>
        <w:gridCol w:w="114"/>
      </w:tblGrid>
      <w:tr w:rsidR="00CF0924" w14:paraId="63BE8537" w14:textId="77777777">
        <w:tc>
          <w:tcPr>
            <w:tcW w:w="9524" w:type="dxa"/>
            <w:gridSpan w:val="2"/>
            <w:tcBorders>
              <w:top w:val="single" w:sz="6" w:space="0" w:color="auto"/>
              <w:left w:val="single" w:sz="8" w:space="0" w:color="auto"/>
              <w:bottom w:val="single" w:sz="6" w:space="0" w:color="auto"/>
              <w:right w:val="nil"/>
            </w:tcBorders>
          </w:tcPr>
          <w:p w14:paraId="50F855BC" w14:textId="77777777" w:rsidR="000F35C3" w:rsidRDefault="000F35C3">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Oceňovaná nemovitá věc</w:t>
            </w:r>
          </w:p>
        </w:tc>
        <w:tc>
          <w:tcPr>
            <w:tcW w:w="114" w:type="dxa"/>
            <w:tcBorders>
              <w:top w:val="single" w:sz="6" w:space="0" w:color="auto"/>
              <w:left w:val="nil"/>
              <w:bottom w:val="single" w:sz="6" w:space="0" w:color="auto"/>
              <w:right w:val="single" w:sz="8" w:space="0" w:color="auto"/>
            </w:tcBorders>
          </w:tcPr>
          <w:p w14:paraId="61FDE171" w14:textId="77777777" w:rsidR="000F35C3" w:rsidRDefault="000F35C3">
            <w:pPr>
              <w:widowControl w:val="0"/>
              <w:autoSpaceDE w:val="0"/>
              <w:autoSpaceDN w:val="0"/>
              <w:adjustRightInd w:val="0"/>
              <w:spacing w:before="57" w:after="0" w:line="240" w:lineRule="auto"/>
              <w:rPr>
                <w:rFonts w:ascii="Times New Roman" w:hAnsi="Times New Roman" w:cs="Times New Roman"/>
                <w:b/>
                <w:bCs/>
                <w:color w:val="000000"/>
                <w:kern w:val="0"/>
              </w:rPr>
            </w:pPr>
          </w:p>
        </w:tc>
      </w:tr>
      <w:tr w:rsidR="00CF0924" w14:paraId="0EBD273B" w14:textId="77777777">
        <w:tc>
          <w:tcPr>
            <w:tcW w:w="2985" w:type="dxa"/>
            <w:tcBorders>
              <w:top w:val="nil"/>
              <w:left w:val="single" w:sz="8" w:space="0" w:color="auto"/>
              <w:bottom w:val="nil"/>
              <w:right w:val="nil"/>
            </w:tcBorders>
          </w:tcPr>
          <w:p w14:paraId="1F096EAB" w14:textId="77777777" w:rsidR="000F35C3" w:rsidRDefault="000F35C3">
            <w:pPr>
              <w:widowControl w:val="0"/>
              <w:autoSpaceDE w:val="0"/>
              <w:autoSpaceDN w:val="0"/>
              <w:adjustRightInd w:val="0"/>
              <w:spacing w:after="0" w:line="240" w:lineRule="auto"/>
              <w:ind w:left="135"/>
              <w:rPr>
                <w:rFonts w:ascii="Times New Roman" w:hAnsi="Times New Roman" w:cs="Times New Roman"/>
                <w:b/>
                <w:bCs/>
                <w:color w:val="000000"/>
                <w:kern w:val="0"/>
              </w:rPr>
            </w:pPr>
            <w:r>
              <w:rPr>
                <w:rFonts w:ascii="Times New Roman" w:hAnsi="Times New Roman" w:cs="Times New Roman"/>
                <w:b/>
                <w:bCs/>
                <w:color w:val="000000"/>
                <w:kern w:val="0"/>
              </w:rPr>
              <w:t>Užitná plocha:</w:t>
            </w:r>
          </w:p>
        </w:tc>
        <w:tc>
          <w:tcPr>
            <w:tcW w:w="6653" w:type="dxa"/>
            <w:gridSpan w:val="2"/>
            <w:tcBorders>
              <w:top w:val="nil"/>
              <w:left w:val="nil"/>
              <w:bottom w:val="nil"/>
              <w:right w:val="single" w:sz="8" w:space="0" w:color="auto"/>
            </w:tcBorders>
          </w:tcPr>
          <w:p w14:paraId="47E747E0" w14:textId="77777777" w:rsidR="000F35C3" w:rsidRDefault="000F35C3">
            <w:pPr>
              <w:widowControl w:val="0"/>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54,33 m</w:t>
            </w:r>
            <w:r>
              <w:rPr>
                <w:rFonts w:ascii="Times New Roman" w:hAnsi="Times New Roman" w:cs="Times New Roman"/>
                <w:color w:val="000000"/>
                <w:kern w:val="0"/>
                <w:vertAlign w:val="superscript"/>
              </w:rPr>
              <w:t>2</w:t>
            </w:r>
          </w:p>
        </w:tc>
      </w:tr>
      <w:tr w:rsidR="00CF0924" w14:paraId="21F09A20" w14:textId="77777777">
        <w:tc>
          <w:tcPr>
            <w:tcW w:w="9524" w:type="dxa"/>
            <w:gridSpan w:val="2"/>
            <w:tcBorders>
              <w:top w:val="single" w:sz="8" w:space="0" w:color="auto"/>
              <w:left w:val="nil"/>
              <w:bottom w:val="nil"/>
              <w:right w:val="nil"/>
            </w:tcBorders>
          </w:tcPr>
          <w:p w14:paraId="0996C785" w14:textId="77777777" w:rsidR="000F35C3" w:rsidRDefault="000F35C3">
            <w:pPr>
              <w:widowControl w:val="0"/>
              <w:autoSpaceDE w:val="0"/>
              <w:autoSpaceDN w:val="0"/>
              <w:adjustRightInd w:val="0"/>
              <w:spacing w:after="0" w:line="240" w:lineRule="auto"/>
              <w:ind w:left="143"/>
              <w:rPr>
                <w:rFonts w:ascii="Times New Roman" w:hAnsi="Times New Roman" w:cs="Times New Roman"/>
                <w:color w:val="000000"/>
                <w:kern w:val="0"/>
              </w:rPr>
            </w:pPr>
          </w:p>
        </w:tc>
        <w:tc>
          <w:tcPr>
            <w:tcW w:w="114" w:type="dxa"/>
            <w:tcBorders>
              <w:top w:val="single" w:sz="8" w:space="0" w:color="auto"/>
              <w:left w:val="nil"/>
              <w:bottom w:val="nil"/>
              <w:right w:val="nil"/>
            </w:tcBorders>
          </w:tcPr>
          <w:p w14:paraId="7870FEEC" w14:textId="77777777" w:rsidR="000F35C3" w:rsidRDefault="000F35C3">
            <w:pPr>
              <w:widowControl w:val="0"/>
              <w:autoSpaceDE w:val="0"/>
              <w:autoSpaceDN w:val="0"/>
              <w:adjustRightInd w:val="0"/>
              <w:spacing w:after="0" w:line="240" w:lineRule="auto"/>
              <w:rPr>
                <w:rFonts w:ascii="Times New Roman" w:hAnsi="Times New Roman" w:cs="Times New Roman"/>
                <w:b/>
                <w:bCs/>
                <w:color w:val="000000"/>
                <w:kern w:val="0"/>
                <w:sz w:val="4"/>
                <w:szCs w:val="4"/>
              </w:rPr>
            </w:pPr>
          </w:p>
        </w:tc>
      </w:tr>
    </w:tbl>
    <w:p w14:paraId="265570CE" w14:textId="77777777" w:rsidR="000F35C3" w:rsidRDefault="000F35C3">
      <w:pPr>
        <w:widowControl w:val="0"/>
        <w:tabs>
          <w:tab w:val="left" w:pos="5490"/>
        </w:tabs>
        <w:autoSpaceDE w:val="0"/>
        <w:autoSpaceDN w:val="0"/>
        <w:adjustRightInd w:val="0"/>
        <w:spacing w:before="170" w:after="57" w:line="240" w:lineRule="auto"/>
        <w:rPr>
          <w:rFonts w:ascii="Times New Roman" w:hAnsi="Times New Roman" w:cs="Times New Roman"/>
          <w:b/>
          <w:bCs/>
          <w:color w:val="000000"/>
          <w:kern w:val="0"/>
        </w:rPr>
      </w:pPr>
      <w:r>
        <w:rPr>
          <w:rFonts w:ascii="Times New Roman" w:hAnsi="Times New Roman" w:cs="Times New Roman"/>
          <w:b/>
          <w:bCs/>
          <w:color w:val="000000"/>
          <w:kern w:val="0"/>
        </w:rPr>
        <w:t>Zdůvodnění a popis použitých koeficientů pro porovnání:</w:t>
      </w:r>
    </w:p>
    <w:p w14:paraId="36D544A3"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K1 zohledňuje případnou redukci pramene ceny. V případě použití sjednaných cen, které byly sjednány v delším časovém úseku, bude v tomto koeficientu vyjádřen vývoj obvyklé ceny v čase. Na základě časové řady bude příslušným indexem sjednaná cena promítnuta do současného období, v kterém je ocenění provedeno.</w:t>
      </w:r>
    </w:p>
    <w:p w14:paraId="2EB6E4BA"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3971804C"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Koeficient K2 zohledňuje velikost oceňované nemovité věci vzhledem k nemovitým věcem srovnávacím. </w:t>
      </w:r>
    </w:p>
    <w:p w14:paraId="5253BD73"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7197B672"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K3 zohledňuje polohu nemovité věci v rámci územního celku (velikost sídla, občanská vybavenost, dopravní obslužnost) vzhledem k nemovitým věcem srovnávacím.</w:t>
      </w:r>
    </w:p>
    <w:p w14:paraId="643F332A"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679AC6EB"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K4 zohledňuje polohu nemovité věci v rámci funkčního celku (podlaží, orientace, přístup) vzhledem k nemovitým věcem srovnávacím.</w:t>
      </w:r>
    </w:p>
    <w:p w14:paraId="37CE1E75"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7973365B"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K5 zohledňuje provedení, vybavení a příslušenství oceňované nemovité věci vzhledem k nemovitým věcem srovnávacím. Vybavením se převážně rozumí výskyt balkonu, lodžie, sklepa, sklepní kóje, komory aj.</w:t>
      </w:r>
    </w:p>
    <w:p w14:paraId="53F948AE"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1D660C5C"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K6 zohledňuje celkový stav oceňované nemovité věci vzhledem k nemovitým věcem srovnávacím.</w:t>
      </w:r>
    </w:p>
    <w:p w14:paraId="6EF4F465"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4650B1C4"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K7 zohledňuje velikost pozemku oceňované nemovité věci vzhledem k pozemkům srovnávacích nemovitých věcí.</w:t>
      </w:r>
    </w:p>
    <w:p w14:paraId="20C07569"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6C978EE0" w14:textId="77777777" w:rsidR="000F35C3" w:rsidRDefault="000F35C3">
      <w:pPr>
        <w:widowControl w:val="0"/>
        <w:tabs>
          <w:tab w:val="left" w:pos="5490"/>
        </w:tabs>
        <w:autoSpaceDE w:val="0"/>
        <w:autoSpaceDN w:val="0"/>
        <w:adjustRightInd w:val="0"/>
        <w:spacing w:before="170" w:after="57" w:line="240" w:lineRule="auto"/>
        <w:rPr>
          <w:rFonts w:ascii="Times New Roman" w:hAnsi="Times New Roman" w:cs="Times New Roman"/>
          <w:b/>
          <w:bCs/>
          <w:color w:val="000000"/>
          <w:kern w:val="0"/>
        </w:rPr>
      </w:pPr>
      <w:r>
        <w:rPr>
          <w:rFonts w:ascii="Times New Roman" w:hAnsi="Times New Roman" w:cs="Times New Roman"/>
          <w:b/>
          <w:bCs/>
          <w:color w:val="000000"/>
          <w:kern w:val="0"/>
        </w:rPr>
        <w:t>Srovnatelné nemovité věci:</w:t>
      </w: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454"/>
        <w:gridCol w:w="453"/>
        <w:gridCol w:w="1361"/>
        <w:gridCol w:w="1701"/>
        <w:gridCol w:w="1361"/>
        <w:gridCol w:w="415"/>
        <w:gridCol w:w="2382"/>
      </w:tblGrid>
      <w:tr w:rsidR="00CF0924" w14:paraId="713B021B" w14:textId="77777777">
        <w:tc>
          <w:tcPr>
            <w:tcW w:w="1474" w:type="dxa"/>
            <w:tcBorders>
              <w:top w:val="single" w:sz="6" w:space="0" w:color="auto"/>
              <w:left w:val="single" w:sz="8" w:space="0" w:color="auto"/>
              <w:bottom w:val="nil"/>
              <w:right w:val="nil"/>
            </w:tcBorders>
          </w:tcPr>
          <w:p w14:paraId="0D511C6B" w14:textId="77777777" w:rsidR="000F35C3" w:rsidRDefault="000F35C3">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lastRenderedPageBreak/>
              <w:t>Název:</w:t>
            </w:r>
          </w:p>
        </w:tc>
        <w:tc>
          <w:tcPr>
            <w:tcW w:w="8164" w:type="dxa"/>
            <w:gridSpan w:val="8"/>
            <w:tcBorders>
              <w:top w:val="single" w:sz="6" w:space="0" w:color="auto"/>
              <w:left w:val="nil"/>
              <w:bottom w:val="nil"/>
              <w:right w:val="single" w:sz="8" w:space="0" w:color="auto"/>
            </w:tcBorders>
          </w:tcPr>
          <w:p w14:paraId="7BBBDDDB" w14:textId="77777777" w:rsidR="000F35C3" w:rsidRDefault="000F35C3">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Jednotka č. 490/8 Kynšperk nad Ohří</w:t>
            </w:r>
          </w:p>
        </w:tc>
      </w:tr>
      <w:tr w:rsidR="00CF0924" w14:paraId="0B72BA6E" w14:textId="77777777">
        <w:tc>
          <w:tcPr>
            <w:tcW w:w="1511" w:type="dxa"/>
            <w:gridSpan w:val="2"/>
            <w:tcBorders>
              <w:top w:val="nil"/>
              <w:left w:val="single" w:sz="8" w:space="0" w:color="auto"/>
              <w:bottom w:val="nil"/>
              <w:right w:val="nil"/>
            </w:tcBorders>
          </w:tcPr>
          <w:p w14:paraId="7FCCC735" w14:textId="77777777" w:rsidR="000F35C3" w:rsidRDefault="000F35C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7"/>
            <w:tcBorders>
              <w:top w:val="nil"/>
              <w:left w:val="nil"/>
              <w:bottom w:val="nil"/>
              <w:right w:val="single" w:sz="8" w:space="0" w:color="auto"/>
            </w:tcBorders>
          </w:tcPr>
          <w:p w14:paraId="6E0330C4" w14:textId="77777777" w:rsidR="000F35C3" w:rsidRDefault="000F35C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Jana Nerudy č.p. 490</w:t>
            </w:r>
          </w:p>
        </w:tc>
      </w:tr>
      <w:tr w:rsidR="00CF0924" w14:paraId="66FB39BF" w14:textId="77777777">
        <w:tc>
          <w:tcPr>
            <w:tcW w:w="1511" w:type="dxa"/>
            <w:gridSpan w:val="2"/>
            <w:tcBorders>
              <w:top w:val="nil"/>
              <w:left w:val="single" w:sz="8" w:space="0" w:color="auto"/>
              <w:bottom w:val="nil"/>
              <w:right w:val="nil"/>
            </w:tcBorders>
          </w:tcPr>
          <w:p w14:paraId="4B66BEBD" w14:textId="77777777" w:rsidR="000F35C3" w:rsidRDefault="000F35C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7"/>
            <w:tcBorders>
              <w:top w:val="nil"/>
              <w:left w:val="nil"/>
              <w:bottom w:val="nil"/>
              <w:right w:val="single" w:sz="8" w:space="0" w:color="auto"/>
            </w:tcBorders>
          </w:tcPr>
          <w:p w14:paraId="3FB03C04"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Byt 2+1, o užitné ploše 46 m2, který se nachází ve vyhledávané a klidné části Kynšperku nad Ohří, v druhém patře panelového domu. Byt je v dobrém stavu a vyžaduje drobné úpravy nebo možnost rekonstrukce. K bytu náleží také dva sklepy o ploše 4 m2.</w:t>
            </w:r>
          </w:p>
        </w:tc>
      </w:tr>
      <w:tr w:rsidR="00CF0924" w14:paraId="5D49E10F" w14:textId="77777777">
        <w:tc>
          <w:tcPr>
            <w:tcW w:w="2418" w:type="dxa"/>
            <w:gridSpan w:val="4"/>
            <w:tcBorders>
              <w:top w:val="nil"/>
              <w:left w:val="single" w:sz="8" w:space="0" w:color="auto"/>
              <w:bottom w:val="nil"/>
              <w:right w:val="nil"/>
            </w:tcBorders>
          </w:tcPr>
          <w:p w14:paraId="4EE33B7D" w14:textId="77777777" w:rsidR="000F35C3" w:rsidRDefault="000F35C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Užitná plocha:</w:t>
            </w:r>
          </w:p>
        </w:tc>
        <w:tc>
          <w:tcPr>
            <w:tcW w:w="7220" w:type="dxa"/>
            <w:gridSpan w:val="5"/>
            <w:tcBorders>
              <w:top w:val="nil"/>
              <w:left w:val="nil"/>
              <w:bottom w:val="nil"/>
              <w:right w:val="single" w:sz="8" w:space="0" w:color="auto"/>
            </w:tcBorders>
          </w:tcPr>
          <w:p w14:paraId="7E6E01D9" w14:textId="77777777" w:rsidR="000F35C3" w:rsidRDefault="000F35C3">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50,00 m</w:t>
            </w:r>
            <w:r>
              <w:rPr>
                <w:rFonts w:ascii="Times New Roman" w:hAnsi="Times New Roman" w:cs="Times New Roman"/>
                <w:color w:val="000000"/>
                <w:kern w:val="0"/>
                <w:vertAlign w:val="superscript"/>
              </w:rPr>
              <w:t>2</w:t>
            </w:r>
          </w:p>
        </w:tc>
      </w:tr>
      <w:tr w:rsidR="00CF0924" w14:paraId="3D7D89EB" w14:textId="77777777">
        <w:tc>
          <w:tcPr>
            <w:tcW w:w="6841" w:type="dxa"/>
            <w:gridSpan w:val="7"/>
            <w:tcBorders>
              <w:top w:val="nil"/>
              <w:left w:val="single" w:sz="8" w:space="0" w:color="auto"/>
              <w:bottom w:val="nil"/>
              <w:right w:val="nil"/>
            </w:tcBorders>
          </w:tcPr>
          <w:p w14:paraId="764BE6C5" w14:textId="77777777" w:rsidR="000F35C3" w:rsidRDefault="000F35C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58E10A1A" w14:textId="77777777" w:rsidR="000F35C3" w:rsidRDefault="000F35C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1,15</w:t>
            </w:r>
          </w:p>
          <w:p w14:paraId="4C4D6F12" w14:textId="77777777" w:rsidR="000F35C3" w:rsidRDefault="000F35C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0,96</w:t>
            </w:r>
          </w:p>
          <w:p w14:paraId="51AAE765" w14:textId="77777777" w:rsidR="000F35C3" w:rsidRDefault="000F35C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 v rámci územního celku</w:t>
            </w:r>
            <w:r>
              <w:rPr>
                <w:rFonts w:ascii="Times New Roman" w:hAnsi="Times New Roman" w:cs="Times New Roman"/>
                <w:color w:val="000000"/>
                <w:kern w:val="0"/>
              </w:rPr>
              <w:tab/>
              <w:t>1,00</w:t>
            </w:r>
          </w:p>
          <w:p w14:paraId="247BF013" w14:textId="77777777" w:rsidR="000F35C3" w:rsidRDefault="000F35C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Poloha v rámci funkčního celku</w:t>
            </w:r>
            <w:r>
              <w:rPr>
                <w:rFonts w:ascii="Times New Roman" w:hAnsi="Times New Roman" w:cs="Times New Roman"/>
                <w:color w:val="000000"/>
                <w:kern w:val="0"/>
              </w:rPr>
              <w:tab/>
              <w:t>1,00</w:t>
            </w:r>
          </w:p>
          <w:p w14:paraId="41B5CF56" w14:textId="77777777" w:rsidR="000F35C3" w:rsidRDefault="000F35C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Provedení a vybavení</w:t>
            </w:r>
            <w:r>
              <w:rPr>
                <w:rFonts w:ascii="Times New Roman" w:hAnsi="Times New Roman" w:cs="Times New Roman"/>
                <w:color w:val="000000"/>
                <w:kern w:val="0"/>
              </w:rPr>
              <w:tab/>
              <w:t>1,00</w:t>
            </w:r>
          </w:p>
          <w:p w14:paraId="76DFE630" w14:textId="77777777" w:rsidR="000F35C3" w:rsidRDefault="000F35C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1,10</w:t>
            </w:r>
          </w:p>
          <w:p w14:paraId="068EB860" w14:textId="77777777" w:rsidR="000F35C3" w:rsidRDefault="000F35C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1,00</w:t>
            </w:r>
          </w:p>
        </w:tc>
        <w:tc>
          <w:tcPr>
            <w:tcW w:w="2797" w:type="dxa"/>
            <w:gridSpan w:val="2"/>
            <w:tcBorders>
              <w:top w:val="nil"/>
              <w:left w:val="nil"/>
              <w:bottom w:val="nil"/>
              <w:right w:val="single" w:sz="8" w:space="0" w:color="auto"/>
            </w:tcBorders>
          </w:tcPr>
          <w:p w14:paraId="2C43F4F2" w14:textId="7B9DD415" w:rsidR="000F35C3" w:rsidRDefault="000F35C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36B5B107" wp14:editId="3323B32F">
                  <wp:extent cx="1516380" cy="9525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6380" cy="95250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4618B8FD" w14:textId="77777777" w:rsidR="000F35C3" w:rsidRDefault="000F35C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23.10.2024 (V-5188/2024-409)</w:t>
            </w:r>
          </w:p>
        </w:tc>
      </w:tr>
      <w:tr w:rsidR="00CF0924" w14:paraId="60AEAFC5" w14:textId="77777777">
        <w:tc>
          <w:tcPr>
            <w:tcW w:w="1965" w:type="dxa"/>
            <w:gridSpan w:val="3"/>
            <w:tcBorders>
              <w:top w:val="nil"/>
              <w:left w:val="single" w:sz="8" w:space="0" w:color="auto"/>
              <w:bottom w:val="nil"/>
              <w:right w:val="nil"/>
            </w:tcBorders>
          </w:tcPr>
          <w:p w14:paraId="1420C534" w14:textId="77777777" w:rsidR="000F35C3" w:rsidRDefault="000F35C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 [</w:t>
            </w:r>
            <w:r>
              <w:rPr>
                <w:rFonts w:ascii="Times New Roman" w:hAnsi="Times New Roman" w:cs="Times New Roman"/>
                <w:color w:val="000000"/>
                <w:kern w:val="0"/>
              </w:rPr>
              <w:t>Kč]</w:t>
            </w:r>
          </w:p>
          <w:p w14:paraId="483A24A5" w14:textId="77777777" w:rsidR="000F35C3" w:rsidRDefault="000F35C3">
            <w:pPr>
              <w:widowControl w:val="0"/>
              <w:autoSpaceDE w:val="0"/>
              <w:autoSpaceDN w:val="0"/>
              <w:adjustRightInd w:val="0"/>
              <w:spacing w:after="0" w:line="240" w:lineRule="auto"/>
              <w:jc w:val="center"/>
              <w:rPr>
                <w:rFonts w:ascii="Times New Roman" w:hAnsi="Times New Roman" w:cs="Times New Roman"/>
                <w:b/>
                <w:bCs/>
                <w:color w:val="000000"/>
                <w:kern w:val="0"/>
              </w:rPr>
            </w:pPr>
          </w:p>
        </w:tc>
        <w:tc>
          <w:tcPr>
            <w:tcW w:w="1814" w:type="dxa"/>
            <w:gridSpan w:val="2"/>
            <w:tcBorders>
              <w:top w:val="nil"/>
              <w:left w:val="nil"/>
              <w:bottom w:val="nil"/>
              <w:right w:val="nil"/>
            </w:tcBorders>
          </w:tcPr>
          <w:p w14:paraId="799CB617" w14:textId="77777777" w:rsidR="000F35C3" w:rsidRDefault="000F35C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Užitná plocha</w:t>
            </w:r>
          </w:p>
          <w:p w14:paraId="0C027CA1" w14:textId="77777777" w:rsidR="000F35C3" w:rsidRDefault="000F35C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tc>
        <w:tc>
          <w:tcPr>
            <w:tcW w:w="1701" w:type="dxa"/>
            <w:tcBorders>
              <w:top w:val="nil"/>
              <w:left w:val="nil"/>
              <w:bottom w:val="nil"/>
              <w:right w:val="nil"/>
            </w:tcBorders>
          </w:tcPr>
          <w:p w14:paraId="5673F218" w14:textId="77777777" w:rsidR="000F35C3" w:rsidRDefault="000F35C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Jedn. cena</w:t>
            </w:r>
          </w:p>
          <w:p w14:paraId="391B791B" w14:textId="77777777" w:rsidR="000F35C3" w:rsidRDefault="000F35C3">
            <w:pPr>
              <w:widowControl w:val="0"/>
              <w:autoSpaceDE w:val="0"/>
              <w:autoSpaceDN w:val="0"/>
              <w:adjustRightInd w:val="0"/>
              <w:spacing w:after="0" w:line="240" w:lineRule="auto"/>
              <w:jc w:val="center"/>
              <w:rPr>
                <w:rFonts w:ascii="Times New Roman" w:hAnsi="Times New Roman" w:cs="Times New Roman"/>
                <w:color w:val="000000"/>
                <w:kern w:val="0"/>
                <w:vertAlign w:val="superscript"/>
              </w:rPr>
            </w:pPr>
            <w:r>
              <w:rPr>
                <w:rFonts w:ascii="Times New Roman" w:hAnsi="Times New Roman" w:cs="Times New Roman"/>
                <w:color w:val="000000"/>
                <w:kern w:val="0"/>
              </w:rPr>
              <w:t>Kč/m</w:t>
            </w:r>
            <w:r>
              <w:rPr>
                <w:rFonts w:ascii="Times New Roman" w:hAnsi="Times New Roman" w:cs="Times New Roman"/>
                <w:color w:val="000000"/>
                <w:kern w:val="0"/>
                <w:vertAlign w:val="superscript"/>
              </w:rPr>
              <w:t>2</w:t>
            </w:r>
          </w:p>
        </w:tc>
        <w:tc>
          <w:tcPr>
            <w:tcW w:w="1776" w:type="dxa"/>
            <w:gridSpan w:val="2"/>
            <w:tcBorders>
              <w:top w:val="nil"/>
              <w:left w:val="nil"/>
              <w:bottom w:val="nil"/>
              <w:right w:val="nil"/>
            </w:tcBorders>
          </w:tcPr>
          <w:p w14:paraId="6E01DA58" w14:textId="77777777" w:rsidR="000F35C3" w:rsidRDefault="000F35C3">
            <w:pPr>
              <w:widowControl w:val="0"/>
              <w:tabs>
                <w:tab w:val="decimal" w:pos="360"/>
                <w:tab w:val="left" w:pos="3690"/>
              </w:tabs>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Celkový koef.</w:t>
            </w:r>
          </w:p>
          <w:p w14:paraId="5822647E" w14:textId="77777777" w:rsidR="000F35C3" w:rsidRDefault="000F35C3">
            <w:pPr>
              <w:widowControl w:val="0"/>
              <w:tabs>
                <w:tab w:val="decimal" w:pos="360"/>
                <w:tab w:val="left" w:pos="3690"/>
              </w:tabs>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K</w:t>
            </w:r>
            <w:r>
              <w:rPr>
                <w:rFonts w:ascii="Times New Roman" w:hAnsi="Times New Roman" w:cs="Times New Roman"/>
                <w:b/>
                <w:bCs/>
                <w:color w:val="000000"/>
                <w:kern w:val="0"/>
                <w:vertAlign w:val="subscript"/>
              </w:rPr>
              <w:t>C</w:t>
            </w:r>
          </w:p>
        </w:tc>
        <w:tc>
          <w:tcPr>
            <w:tcW w:w="2382" w:type="dxa"/>
            <w:tcBorders>
              <w:top w:val="nil"/>
              <w:left w:val="nil"/>
              <w:bottom w:val="nil"/>
              <w:right w:val="single" w:sz="8" w:space="0" w:color="auto"/>
            </w:tcBorders>
          </w:tcPr>
          <w:p w14:paraId="3A761FCC" w14:textId="77777777" w:rsidR="000F35C3" w:rsidRDefault="000F35C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b/>
                <w:bCs/>
                <w:color w:val="000000"/>
                <w:kern w:val="0"/>
              </w:rPr>
              <w:t xml:space="preserve">Upravená j. cena </w:t>
            </w:r>
            <w:r>
              <w:rPr>
                <w:rFonts w:ascii="Times New Roman" w:hAnsi="Times New Roman" w:cs="Times New Roman"/>
                <w:color w:val="000000"/>
                <w:kern w:val="0"/>
              </w:rPr>
              <w:t>[Kč/m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tc>
      </w:tr>
      <w:tr w:rsidR="00CF0924" w14:paraId="5D308F6A" w14:textId="77777777">
        <w:tc>
          <w:tcPr>
            <w:tcW w:w="1965" w:type="dxa"/>
            <w:gridSpan w:val="3"/>
            <w:tcBorders>
              <w:top w:val="nil"/>
              <w:left w:val="single" w:sz="8" w:space="0" w:color="auto"/>
              <w:bottom w:val="single" w:sz="6" w:space="0" w:color="auto"/>
              <w:right w:val="nil"/>
            </w:tcBorders>
          </w:tcPr>
          <w:p w14:paraId="289A1087" w14:textId="77777777" w:rsidR="000F35C3" w:rsidRDefault="000F35C3">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1 196 800</w:t>
            </w:r>
          </w:p>
        </w:tc>
        <w:tc>
          <w:tcPr>
            <w:tcW w:w="1814" w:type="dxa"/>
            <w:gridSpan w:val="2"/>
            <w:tcBorders>
              <w:top w:val="nil"/>
              <w:left w:val="nil"/>
              <w:bottom w:val="single" w:sz="8" w:space="0" w:color="auto"/>
              <w:right w:val="nil"/>
            </w:tcBorders>
          </w:tcPr>
          <w:p w14:paraId="3978DD77" w14:textId="77777777" w:rsidR="000F35C3" w:rsidRDefault="000F35C3">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50,00</w:t>
            </w:r>
          </w:p>
        </w:tc>
        <w:tc>
          <w:tcPr>
            <w:tcW w:w="1701" w:type="dxa"/>
            <w:tcBorders>
              <w:top w:val="nil"/>
              <w:left w:val="nil"/>
              <w:bottom w:val="single" w:sz="8" w:space="0" w:color="auto"/>
              <w:right w:val="nil"/>
            </w:tcBorders>
          </w:tcPr>
          <w:p w14:paraId="6CD4F093" w14:textId="77777777" w:rsidR="000F35C3" w:rsidRDefault="000F35C3">
            <w:pPr>
              <w:widowControl w:val="0"/>
              <w:autoSpaceDE w:val="0"/>
              <w:autoSpaceDN w:val="0"/>
              <w:adjustRightInd w:val="0"/>
              <w:spacing w:after="0" w:line="240" w:lineRule="auto"/>
              <w:ind w:right="270"/>
              <w:jc w:val="center"/>
              <w:rPr>
                <w:rFonts w:ascii="Times New Roman" w:hAnsi="Times New Roman" w:cs="Times New Roman"/>
                <w:color w:val="000000"/>
                <w:kern w:val="0"/>
              </w:rPr>
            </w:pPr>
            <w:r>
              <w:rPr>
                <w:rFonts w:ascii="Times New Roman" w:hAnsi="Times New Roman" w:cs="Times New Roman"/>
                <w:color w:val="000000"/>
                <w:kern w:val="0"/>
              </w:rPr>
              <w:t>23 936</w:t>
            </w:r>
          </w:p>
        </w:tc>
        <w:tc>
          <w:tcPr>
            <w:tcW w:w="1776" w:type="dxa"/>
            <w:gridSpan w:val="2"/>
            <w:tcBorders>
              <w:top w:val="nil"/>
              <w:left w:val="nil"/>
              <w:bottom w:val="single" w:sz="8" w:space="0" w:color="auto"/>
              <w:right w:val="nil"/>
            </w:tcBorders>
          </w:tcPr>
          <w:p w14:paraId="401E2925" w14:textId="77777777" w:rsidR="000F35C3" w:rsidRDefault="000F35C3">
            <w:pPr>
              <w:widowControl w:val="0"/>
              <w:tabs>
                <w:tab w:val="decimal" w:pos="360"/>
                <w:tab w:val="left" w:pos="3690"/>
              </w:tabs>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1,21</w:t>
            </w:r>
          </w:p>
        </w:tc>
        <w:tc>
          <w:tcPr>
            <w:tcW w:w="2382" w:type="dxa"/>
            <w:tcBorders>
              <w:top w:val="nil"/>
              <w:left w:val="nil"/>
              <w:bottom w:val="single" w:sz="6" w:space="0" w:color="auto"/>
              <w:right w:val="single" w:sz="8" w:space="0" w:color="auto"/>
            </w:tcBorders>
          </w:tcPr>
          <w:p w14:paraId="601D4017" w14:textId="77777777" w:rsidR="000F35C3" w:rsidRDefault="000F35C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28 963</w:t>
            </w:r>
          </w:p>
        </w:tc>
      </w:tr>
    </w:tbl>
    <w:p w14:paraId="2AFAC647" w14:textId="77777777" w:rsidR="000F35C3" w:rsidRDefault="000F35C3">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454"/>
        <w:gridCol w:w="453"/>
        <w:gridCol w:w="1361"/>
        <w:gridCol w:w="1701"/>
        <w:gridCol w:w="1361"/>
        <w:gridCol w:w="415"/>
        <w:gridCol w:w="2382"/>
      </w:tblGrid>
      <w:tr w:rsidR="00CF0924" w14:paraId="29A30E76" w14:textId="77777777">
        <w:tc>
          <w:tcPr>
            <w:tcW w:w="1474" w:type="dxa"/>
            <w:tcBorders>
              <w:top w:val="single" w:sz="6" w:space="0" w:color="auto"/>
              <w:left w:val="single" w:sz="8" w:space="0" w:color="auto"/>
              <w:bottom w:val="nil"/>
              <w:right w:val="nil"/>
            </w:tcBorders>
          </w:tcPr>
          <w:p w14:paraId="7195536D" w14:textId="77777777" w:rsidR="000F35C3" w:rsidRDefault="000F35C3">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164" w:type="dxa"/>
            <w:gridSpan w:val="8"/>
            <w:tcBorders>
              <w:top w:val="single" w:sz="6" w:space="0" w:color="auto"/>
              <w:left w:val="nil"/>
              <w:bottom w:val="nil"/>
              <w:right w:val="single" w:sz="8" w:space="0" w:color="auto"/>
            </w:tcBorders>
          </w:tcPr>
          <w:p w14:paraId="08AE814D" w14:textId="77777777" w:rsidR="000F35C3" w:rsidRDefault="000F35C3">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Jednotka č. 444/4 Kynšperk nad Ohří</w:t>
            </w:r>
          </w:p>
        </w:tc>
      </w:tr>
      <w:tr w:rsidR="00CF0924" w14:paraId="341D777B" w14:textId="77777777">
        <w:tc>
          <w:tcPr>
            <w:tcW w:w="1511" w:type="dxa"/>
            <w:gridSpan w:val="2"/>
            <w:tcBorders>
              <w:top w:val="nil"/>
              <w:left w:val="single" w:sz="8" w:space="0" w:color="auto"/>
              <w:bottom w:val="nil"/>
              <w:right w:val="nil"/>
            </w:tcBorders>
          </w:tcPr>
          <w:p w14:paraId="6F6E9424" w14:textId="77777777" w:rsidR="000F35C3" w:rsidRDefault="000F35C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7"/>
            <w:tcBorders>
              <w:top w:val="nil"/>
              <w:left w:val="nil"/>
              <w:bottom w:val="nil"/>
              <w:right w:val="single" w:sz="8" w:space="0" w:color="auto"/>
            </w:tcBorders>
          </w:tcPr>
          <w:p w14:paraId="003609AA" w14:textId="77777777" w:rsidR="000F35C3" w:rsidRDefault="000F35C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J. K. Tyla č.p. 444</w:t>
            </w:r>
          </w:p>
        </w:tc>
      </w:tr>
      <w:tr w:rsidR="00CF0924" w14:paraId="3C792C23" w14:textId="77777777">
        <w:tc>
          <w:tcPr>
            <w:tcW w:w="1511" w:type="dxa"/>
            <w:gridSpan w:val="2"/>
            <w:tcBorders>
              <w:top w:val="nil"/>
              <w:left w:val="single" w:sz="8" w:space="0" w:color="auto"/>
              <w:bottom w:val="nil"/>
              <w:right w:val="nil"/>
            </w:tcBorders>
          </w:tcPr>
          <w:p w14:paraId="697D706A" w14:textId="77777777" w:rsidR="000F35C3" w:rsidRDefault="000F35C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7"/>
            <w:tcBorders>
              <w:top w:val="nil"/>
              <w:left w:val="nil"/>
              <w:bottom w:val="nil"/>
              <w:right w:val="single" w:sz="8" w:space="0" w:color="auto"/>
            </w:tcBorders>
          </w:tcPr>
          <w:p w14:paraId="0C4E8CB8"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Byt 2+1 o užitné ploše 50 m2 v klidné části Kynšperku nad Ohří. Tento byt se nachází v prvním patře cihlového domu a prošel kompletní a zdařilou rekonstrukcí. Byt je ve velmi dobrém stavu. Dispozice bytu zahrnuje prostorný obývací pokoj s jídelním koutem, ložnici, kuchyň a koupelnu. K bytu náleží také sklepní prostor o rozloze 4,40 m2.</w:t>
            </w:r>
          </w:p>
        </w:tc>
      </w:tr>
      <w:tr w:rsidR="00CF0924" w14:paraId="78FE01C3" w14:textId="77777777">
        <w:tc>
          <w:tcPr>
            <w:tcW w:w="2418" w:type="dxa"/>
            <w:gridSpan w:val="4"/>
            <w:tcBorders>
              <w:top w:val="nil"/>
              <w:left w:val="single" w:sz="8" w:space="0" w:color="auto"/>
              <w:bottom w:val="nil"/>
              <w:right w:val="nil"/>
            </w:tcBorders>
          </w:tcPr>
          <w:p w14:paraId="0F9F0486" w14:textId="77777777" w:rsidR="000F35C3" w:rsidRDefault="000F35C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Užitná plocha:</w:t>
            </w:r>
          </w:p>
        </w:tc>
        <w:tc>
          <w:tcPr>
            <w:tcW w:w="7220" w:type="dxa"/>
            <w:gridSpan w:val="5"/>
            <w:tcBorders>
              <w:top w:val="nil"/>
              <w:left w:val="nil"/>
              <w:bottom w:val="nil"/>
              <w:right w:val="single" w:sz="8" w:space="0" w:color="auto"/>
            </w:tcBorders>
          </w:tcPr>
          <w:p w14:paraId="627D38EF" w14:textId="77777777" w:rsidR="000F35C3" w:rsidRDefault="000F35C3">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54,40 m</w:t>
            </w:r>
            <w:r>
              <w:rPr>
                <w:rFonts w:ascii="Times New Roman" w:hAnsi="Times New Roman" w:cs="Times New Roman"/>
                <w:color w:val="000000"/>
                <w:kern w:val="0"/>
                <w:vertAlign w:val="superscript"/>
              </w:rPr>
              <w:t>2</w:t>
            </w:r>
          </w:p>
        </w:tc>
      </w:tr>
      <w:tr w:rsidR="00CF0924" w14:paraId="60F10FC1" w14:textId="77777777">
        <w:tc>
          <w:tcPr>
            <w:tcW w:w="6841" w:type="dxa"/>
            <w:gridSpan w:val="7"/>
            <w:tcBorders>
              <w:top w:val="nil"/>
              <w:left w:val="single" w:sz="8" w:space="0" w:color="auto"/>
              <w:bottom w:val="nil"/>
              <w:right w:val="nil"/>
            </w:tcBorders>
          </w:tcPr>
          <w:p w14:paraId="439686FB" w14:textId="77777777" w:rsidR="000F35C3" w:rsidRDefault="000F35C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00C52FD1" w14:textId="77777777" w:rsidR="000F35C3" w:rsidRDefault="000F35C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1,15</w:t>
            </w:r>
          </w:p>
          <w:p w14:paraId="27C8163B" w14:textId="77777777" w:rsidR="000F35C3" w:rsidRDefault="000F35C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1,00</w:t>
            </w:r>
          </w:p>
          <w:p w14:paraId="42099CD7" w14:textId="77777777" w:rsidR="000F35C3" w:rsidRDefault="000F35C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 v rámci územního celku</w:t>
            </w:r>
            <w:r>
              <w:rPr>
                <w:rFonts w:ascii="Times New Roman" w:hAnsi="Times New Roman" w:cs="Times New Roman"/>
                <w:color w:val="000000"/>
                <w:kern w:val="0"/>
              </w:rPr>
              <w:tab/>
              <w:t>1,00</w:t>
            </w:r>
          </w:p>
          <w:p w14:paraId="05D2CD6C" w14:textId="77777777" w:rsidR="000F35C3" w:rsidRDefault="000F35C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Poloha v rámci funkčního celku</w:t>
            </w:r>
            <w:r>
              <w:rPr>
                <w:rFonts w:ascii="Times New Roman" w:hAnsi="Times New Roman" w:cs="Times New Roman"/>
                <w:color w:val="000000"/>
                <w:kern w:val="0"/>
              </w:rPr>
              <w:tab/>
              <w:t>1,02</w:t>
            </w:r>
          </w:p>
          <w:p w14:paraId="031F53D9" w14:textId="77777777" w:rsidR="000F35C3" w:rsidRDefault="000F35C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Provedení a vybavení</w:t>
            </w:r>
            <w:r>
              <w:rPr>
                <w:rFonts w:ascii="Times New Roman" w:hAnsi="Times New Roman" w:cs="Times New Roman"/>
                <w:color w:val="000000"/>
                <w:kern w:val="0"/>
              </w:rPr>
              <w:tab/>
              <w:t>1,00</w:t>
            </w:r>
          </w:p>
          <w:p w14:paraId="63E0545E" w14:textId="77777777" w:rsidR="000F35C3" w:rsidRDefault="000F35C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0,90</w:t>
            </w:r>
          </w:p>
          <w:p w14:paraId="30117E42" w14:textId="77777777" w:rsidR="000F35C3" w:rsidRDefault="000F35C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1,00</w:t>
            </w:r>
          </w:p>
        </w:tc>
        <w:tc>
          <w:tcPr>
            <w:tcW w:w="2797" w:type="dxa"/>
            <w:gridSpan w:val="2"/>
            <w:tcBorders>
              <w:top w:val="nil"/>
              <w:left w:val="nil"/>
              <w:bottom w:val="nil"/>
              <w:right w:val="single" w:sz="8" w:space="0" w:color="auto"/>
            </w:tcBorders>
          </w:tcPr>
          <w:p w14:paraId="2A2567DE" w14:textId="16AD997D" w:rsidR="000F35C3" w:rsidRDefault="000F35C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73551F73" wp14:editId="620C8DED">
                  <wp:extent cx="1516380" cy="9525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6380" cy="95250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780E8AD5" w14:textId="77777777" w:rsidR="000F35C3" w:rsidRDefault="000F35C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9.12.2024 (V-6022/2024-409)</w:t>
            </w:r>
          </w:p>
        </w:tc>
      </w:tr>
      <w:tr w:rsidR="00CF0924" w14:paraId="6EC42148" w14:textId="77777777">
        <w:tc>
          <w:tcPr>
            <w:tcW w:w="1965" w:type="dxa"/>
            <w:gridSpan w:val="3"/>
            <w:tcBorders>
              <w:top w:val="nil"/>
              <w:left w:val="single" w:sz="8" w:space="0" w:color="auto"/>
              <w:bottom w:val="nil"/>
              <w:right w:val="nil"/>
            </w:tcBorders>
          </w:tcPr>
          <w:p w14:paraId="1AF63B0E" w14:textId="77777777" w:rsidR="000F35C3" w:rsidRDefault="000F35C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 [</w:t>
            </w:r>
            <w:r>
              <w:rPr>
                <w:rFonts w:ascii="Times New Roman" w:hAnsi="Times New Roman" w:cs="Times New Roman"/>
                <w:color w:val="000000"/>
                <w:kern w:val="0"/>
              </w:rPr>
              <w:t>Kč]</w:t>
            </w:r>
          </w:p>
          <w:p w14:paraId="734436B0" w14:textId="77777777" w:rsidR="000F35C3" w:rsidRDefault="000F35C3">
            <w:pPr>
              <w:widowControl w:val="0"/>
              <w:autoSpaceDE w:val="0"/>
              <w:autoSpaceDN w:val="0"/>
              <w:adjustRightInd w:val="0"/>
              <w:spacing w:after="0" w:line="240" w:lineRule="auto"/>
              <w:jc w:val="center"/>
              <w:rPr>
                <w:rFonts w:ascii="Times New Roman" w:hAnsi="Times New Roman" w:cs="Times New Roman"/>
                <w:b/>
                <w:bCs/>
                <w:color w:val="000000"/>
                <w:kern w:val="0"/>
              </w:rPr>
            </w:pPr>
          </w:p>
        </w:tc>
        <w:tc>
          <w:tcPr>
            <w:tcW w:w="1814" w:type="dxa"/>
            <w:gridSpan w:val="2"/>
            <w:tcBorders>
              <w:top w:val="nil"/>
              <w:left w:val="nil"/>
              <w:bottom w:val="nil"/>
              <w:right w:val="nil"/>
            </w:tcBorders>
          </w:tcPr>
          <w:p w14:paraId="1AF2FD65" w14:textId="77777777" w:rsidR="000F35C3" w:rsidRDefault="000F35C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Užitná plocha</w:t>
            </w:r>
          </w:p>
          <w:p w14:paraId="76EFBE1D" w14:textId="77777777" w:rsidR="000F35C3" w:rsidRDefault="000F35C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tc>
        <w:tc>
          <w:tcPr>
            <w:tcW w:w="1701" w:type="dxa"/>
            <w:tcBorders>
              <w:top w:val="nil"/>
              <w:left w:val="nil"/>
              <w:bottom w:val="nil"/>
              <w:right w:val="nil"/>
            </w:tcBorders>
          </w:tcPr>
          <w:p w14:paraId="665D681A" w14:textId="77777777" w:rsidR="000F35C3" w:rsidRDefault="000F35C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Jedn. cena</w:t>
            </w:r>
          </w:p>
          <w:p w14:paraId="286F9A2B" w14:textId="77777777" w:rsidR="000F35C3" w:rsidRDefault="000F35C3">
            <w:pPr>
              <w:widowControl w:val="0"/>
              <w:autoSpaceDE w:val="0"/>
              <w:autoSpaceDN w:val="0"/>
              <w:adjustRightInd w:val="0"/>
              <w:spacing w:after="0" w:line="240" w:lineRule="auto"/>
              <w:jc w:val="center"/>
              <w:rPr>
                <w:rFonts w:ascii="Times New Roman" w:hAnsi="Times New Roman" w:cs="Times New Roman"/>
                <w:color w:val="000000"/>
                <w:kern w:val="0"/>
                <w:vertAlign w:val="superscript"/>
              </w:rPr>
            </w:pPr>
            <w:r>
              <w:rPr>
                <w:rFonts w:ascii="Times New Roman" w:hAnsi="Times New Roman" w:cs="Times New Roman"/>
                <w:color w:val="000000"/>
                <w:kern w:val="0"/>
              </w:rPr>
              <w:t>Kč/m</w:t>
            </w:r>
            <w:r>
              <w:rPr>
                <w:rFonts w:ascii="Times New Roman" w:hAnsi="Times New Roman" w:cs="Times New Roman"/>
                <w:color w:val="000000"/>
                <w:kern w:val="0"/>
                <w:vertAlign w:val="superscript"/>
              </w:rPr>
              <w:t>2</w:t>
            </w:r>
          </w:p>
        </w:tc>
        <w:tc>
          <w:tcPr>
            <w:tcW w:w="1776" w:type="dxa"/>
            <w:gridSpan w:val="2"/>
            <w:tcBorders>
              <w:top w:val="nil"/>
              <w:left w:val="nil"/>
              <w:bottom w:val="nil"/>
              <w:right w:val="nil"/>
            </w:tcBorders>
          </w:tcPr>
          <w:p w14:paraId="5C7A2C9A" w14:textId="77777777" w:rsidR="000F35C3" w:rsidRDefault="000F35C3">
            <w:pPr>
              <w:widowControl w:val="0"/>
              <w:tabs>
                <w:tab w:val="decimal" w:pos="360"/>
                <w:tab w:val="left" w:pos="3690"/>
              </w:tabs>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Celkový koef.</w:t>
            </w:r>
          </w:p>
          <w:p w14:paraId="560DE6A3" w14:textId="77777777" w:rsidR="000F35C3" w:rsidRDefault="000F35C3">
            <w:pPr>
              <w:widowControl w:val="0"/>
              <w:tabs>
                <w:tab w:val="decimal" w:pos="360"/>
                <w:tab w:val="left" w:pos="3690"/>
              </w:tabs>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K</w:t>
            </w:r>
            <w:r>
              <w:rPr>
                <w:rFonts w:ascii="Times New Roman" w:hAnsi="Times New Roman" w:cs="Times New Roman"/>
                <w:b/>
                <w:bCs/>
                <w:color w:val="000000"/>
                <w:kern w:val="0"/>
                <w:vertAlign w:val="subscript"/>
              </w:rPr>
              <w:t>C</w:t>
            </w:r>
          </w:p>
        </w:tc>
        <w:tc>
          <w:tcPr>
            <w:tcW w:w="2382" w:type="dxa"/>
            <w:tcBorders>
              <w:top w:val="nil"/>
              <w:left w:val="nil"/>
              <w:bottom w:val="nil"/>
              <w:right w:val="single" w:sz="8" w:space="0" w:color="auto"/>
            </w:tcBorders>
          </w:tcPr>
          <w:p w14:paraId="6E55DB1F" w14:textId="77777777" w:rsidR="000F35C3" w:rsidRDefault="000F35C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b/>
                <w:bCs/>
                <w:color w:val="000000"/>
                <w:kern w:val="0"/>
              </w:rPr>
              <w:t xml:space="preserve">Upravená j. cena </w:t>
            </w:r>
            <w:r>
              <w:rPr>
                <w:rFonts w:ascii="Times New Roman" w:hAnsi="Times New Roman" w:cs="Times New Roman"/>
                <w:color w:val="000000"/>
                <w:kern w:val="0"/>
              </w:rPr>
              <w:t>[Kč/m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tc>
      </w:tr>
      <w:tr w:rsidR="00CF0924" w14:paraId="3B031ACE" w14:textId="77777777">
        <w:tc>
          <w:tcPr>
            <w:tcW w:w="1965" w:type="dxa"/>
            <w:gridSpan w:val="3"/>
            <w:tcBorders>
              <w:top w:val="nil"/>
              <w:left w:val="single" w:sz="8" w:space="0" w:color="auto"/>
              <w:bottom w:val="single" w:sz="6" w:space="0" w:color="auto"/>
              <w:right w:val="nil"/>
            </w:tcBorders>
          </w:tcPr>
          <w:p w14:paraId="753DAC15" w14:textId="77777777" w:rsidR="000F35C3" w:rsidRDefault="000F35C3">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1 821 000</w:t>
            </w:r>
          </w:p>
        </w:tc>
        <w:tc>
          <w:tcPr>
            <w:tcW w:w="1814" w:type="dxa"/>
            <w:gridSpan w:val="2"/>
            <w:tcBorders>
              <w:top w:val="nil"/>
              <w:left w:val="nil"/>
              <w:bottom w:val="single" w:sz="8" w:space="0" w:color="auto"/>
              <w:right w:val="nil"/>
            </w:tcBorders>
          </w:tcPr>
          <w:p w14:paraId="59FF953E" w14:textId="77777777" w:rsidR="000F35C3" w:rsidRDefault="000F35C3">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54,40</w:t>
            </w:r>
          </w:p>
        </w:tc>
        <w:tc>
          <w:tcPr>
            <w:tcW w:w="1701" w:type="dxa"/>
            <w:tcBorders>
              <w:top w:val="nil"/>
              <w:left w:val="nil"/>
              <w:bottom w:val="single" w:sz="8" w:space="0" w:color="auto"/>
              <w:right w:val="nil"/>
            </w:tcBorders>
          </w:tcPr>
          <w:p w14:paraId="3D0D4FDA" w14:textId="77777777" w:rsidR="000F35C3" w:rsidRDefault="000F35C3">
            <w:pPr>
              <w:widowControl w:val="0"/>
              <w:autoSpaceDE w:val="0"/>
              <w:autoSpaceDN w:val="0"/>
              <w:adjustRightInd w:val="0"/>
              <w:spacing w:after="0" w:line="240" w:lineRule="auto"/>
              <w:ind w:right="270"/>
              <w:jc w:val="center"/>
              <w:rPr>
                <w:rFonts w:ascii="Times New Roman" w:hAnsi="Times New Roman" w:cs="Times New Roman"/>
                <w:color w:val="000000"/>
                <w:kern w:val="0"/>
              </w:rPr>
            </w:pPr>
            <w:r>
              <w:rPr>
                <w:rFonts w:ascii="Times New Roman" w:hAnsi="Times New Roman" w:cs="Times New Roman"/>
                <w:color w:val="000000"/>
                <w:kern w:val="0"/>
              </w:rPr>
              <w:t>33 474</w:t>
            </w:r>
          </w:p>
        </w:tc>
        <w:tc>
          <w:tcPr>
            <w:tcW w:w="1776" w:type="dxa"/>
            <w:gridSpan w:val="2"/>
            <w:tcBorders>
              <w:top w:val="nil"/>
              <w:left w:val="nil"/>
              <w:bottom w:val="single" w:sz="8" w:space="0" w:color="auto"/>
              <w:right w:val="nil"/>
            </w:tcBorders>
          </w:tcPr>
          <w:p w14:paraId="42BD405A" w14:textId="77777777" w:rsidR="000F35C3" w:rsidRDefault="000F35C3">
            <w:pPr>
              <w:widowControl w:val="0"/>
              <w:tabs>
                <w:tab w:val="decimal" w:pos="360"/>
                <w:tab w:val="left" w:pos="3690"/>
              </w:tabs>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1,06</w:t>
            </w:r>
          </w:p>
        </w:tc>
        <w:tc>
          <w:tcPr>
            <w:tcW w:w="2382" w:type="dxa"/>
            <w:tcBorders>
              <w:top w:val="nil"/>
              <w:left w:val="nil"/>
              <w:bottom w:val="single" w:sz="6" w:space="0" w:color="auto"/>
              <w:right w:val="single" w:sz="8" w:space="0" w:color="auto"/>
            </w:tcBorders>
          </w:tcPr>
          <w:p w14:paraId="715A9495" w14:textId="77777777" w:rsidR="000F35C3" w:rsidRDefault="000F35C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35 482</w:t>
            </w:r>
          </w:p>
        </w:tc>
      </w:tr>
    </w:tbl>
    <w:p w14:paraId="0128224A" w14:textId="77777777" w:rsidR="000F35C3" w:rsidRDefault="000F35C3">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454"/>
        <w:gridCol w:w="453"/>
        <w:gridCol w:w="1361"/>
        <w:gridCol w:w="1701"/>
        <w:gridCol w:w="1361"/>
        <w:gridCol w:w="415"/>
        <w:gridCol w:w="2382"/>
      </w:tblGrid>
      <w:tr w:rsidR="00CF0924" w14:paraId="14812DE3" w14:textId="77777777">
        <w:tc>
          <w:tcPr>
            <w:tcW w:w="1474" w:type="dxa"/>
            <w:tcBorders>
              <w:top w:val="single" w:sz="6" w:space="0" w:color="auto"/>
              <w:left w:val="single" w:sz="8" w:space="0" w:color="auto"/>
              <w:bottom w:val="nil"/>
              <w:right w:val="nil"/>
            </w:tcBorders>
          </w:tcPr>
          <w:p w14:paraId="7BB80F00" w14:textId="77777777" w:rsidR="000F35C3" w:rsidRDefault="000F35C3">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164" w:type="dxa"/>
            <w:gridSpan w:val="8"/>
            <w:tcBorders>
              <w:top w:val="single" w:sz="6" w:space="0" w:color="auto"/>
              <w:left w:val="nil"/>
              <w:bottom w:val="nil"/>
              <w:right w:val="single" w:sz="8" w:space="0" w:color="auto"/>
            </w:tcBorders>
          </w:tcPr>
          <w:p w14:paraId="5F2473F4" w14:textId="77777777" w:rsidR="000F35C3" w:rsidRDefault="000F35C3">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Jednotka č. 390/6 Kynšperk nad Ohří</w:t>
            </w:r>
          </w:p>
        </w:tc>
      </w:tr>
      <w:tr w:rsidR="00CF0924" w14:paraId="196D4146" w14:textId="77777777">
        <w:tc>
          <w:tcPr>
            <w:tcW w:w="1511" w:type="dxa"/>
            <w:gridSpan w:val="2"/>
            <w:tcBorders>
              <w:top w:val="nil"/>
              <w:left w:val="single" w:sz="8" w:space="0" w:color="auto"/>
              <w:bottom w:val="nil"/>
              <w:right w:val="nil"/>
            </w:tcBorders>
          </w:tcPr>
          <w:p w14:paraId="3ACA1390" w14:textId="77777777" w:rsidR="000F35C3" w:rsidRDefault="000F35C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7"/>
            <w:tcBorders>
              <w:top w:val="nil"/>
              <w:left w:val="nil"/>
              <w:bottom w:val="nil"/>
              <w:right w:val="single" w:sz="8" w:space="0" w:color="auto"/>
            </w:tcBorders>
          </w:tcPr>
          <w:p w14:paraId="755D5AB1" w14:textId="77777777" w:rsidR="000F35C3" w:rsidRDefault="000F35C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Jana Jiskry č.p. 390</w:t>
            </w:r>
          </w:p>
        </w:tc>
      </w:tr>
      <w:tr w:rsidR="00CF0924" w14:paraId="49A7C5D8" w14:textId="77777777">
        <w:tc>
          <w:tcPr>
            <w:tcW w:w="1511" w:type="dxa"/>
            <w:gridSpan w:val="2"/>
            <w:tcBorders>
              <w:top w:val="nil"/>
              <w:left w:val="single" w:sz="8" w:space="0" w:color="auto"/>
              <w:bottom w:val="nil"/>
              <w:right w:val="nil"/>
            </w:tcBorders>
          </w:tcPr>
          <w:p w14:paraId="0F6DCF68" w14:textId="77777777" w:rsidR="000F35C3" w:rsidRDefault="000F35C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7"/>
            <w:tcBorders>
              <w:top w:val="nil"/>
              <w:left w:val="nil"/>
              <w:bottom w:val="nil"/>
              <w:right w:val="single" w:sz="8" w:space="0" w:color="auto"/>
            </w:tcBorders>
          </w:tcPr>
          <w:p w14:paraId="02BA8C5F"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Bytová jednotka je v původním stavu s dispozicí 2+1 a skládá se z kuchyně, obývacího pokoje s menším balkónem, ložnice, chodby s vestavěnou skříní, toalety a koupelny. Součástí bytů je prostorná sklepní kóje. Cihlový dům bez výtahu, který se nachází ve velice klidné lokalitě na kraji města Kynšperk s výhledem na přírodu je zateplený, s plastovými okny a vytápěný tepelným čerpadlem. Byt v tomto domě se </w:t>
            </w:r>
            <w:r>
              <w:rPr>
                <w:rFonts w:ascii="Times New Roman" w:hAnsi="Times New Roman" w:cs="Times New Roman"/>
                <w:color w:val="000000"/>
                <w:kern w:val="0"/>
              </w:rPr>
              <w:lastRenderedPageBreak/>
              <w:t>nachází v druhém nadzemním podlaží.</w:t>
            </w:r>
          </w:p>
        </w:tc>
      </w:tr>
      <w:tr w:rsidR="00CF0924" w14:paraId="5059A736" w14:textId="77777777">
        <w:tc>
          <w:tcPr>
            <w:tcW w:w="2418" w:type="dxa"/>
            <w:gridSpan w:val="4"/>
            <w:tcBorders>
              <w:top w:val="nil"/>
              <w:left w:val="single" w:sz="8" w:space="0" w:color="auto"/>
              <w:bottom w:val="nil"/>
              <w:right w:val="nil"/>
            </w:tcBorders>
          </w:tcPr>
          <w:p w14:paraId="445DC530" w14:textId="77777777" w:rsidR="000F35C3" w:rsidRDefault="000F35C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lastRenderedPageBreak/>
              <w:t>Užitná plocha:</w:t>
            </w:r>
          </w:p>
        </w:tc>
        <w:tc>
          <w:tcPr>
            <w:tcW w:w="7220" w:type="dxa"/>
            <w:gridSpan w:val="5"/>
            <w:tcBorders>
              <w:top w:val="nil"/>
              <w:left w:val="nil"/>
              <w:bottom w:val="nil"/>
              <w:right w:val="single" w:sz="8" w:space="0" w:color="auto"/>
            </w:tcBorders>
          </w:tcPr>
          <w:p w14:paraId="5C62AB7C" w14:textId="77777777" w:rsidR="000F35C3" w:rsidRDefault="000F35C3">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54,21 m</w:t>
            </w:r>
            <w:r>
              <w:rPr>
                <w:rFonts w:ascii="Times New Roman" w:hAnsi="Times New Roman" w:cs="Times New Roman"/>
                <w:color w:val="000000"/>
                <w:kern w:val="0"/>
                <w:vertAlign w:val="superscript"/>
              </w:rPr>
              <w:t>2</w:t>
            </w:r>
          </w:p>
        </w:tc>
      </w:tr>
      <w:tr w:rsidR="00CF0924" w14:paraId="09D7133A" w14:textId="77777777">
        <w:tc>
          <w:tcPr>
            <w:tcW w:w="6841" w:type="dxa"/>
            <w:gridSpan w:val="7"/>
            <w:tcBorders>
              <w:top w:val="nil"/>
              <w:left w:val="single" w:sz="8" w:space="0" w:color="auto"/>
              <w:bottom w:val="nil"/>
              <w:right w:val="nil"/>
            </w:tcBorders>
          </w:tcPr>
          <w:p w14:paraId="1A70A36D" w14:textId="77777777" w:rsidR="000F35C3" w:rsidRDefault="000F35C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6E3A5A25" w14:textId="77777777" w:rsidR="000F35C3" w:rsidRDefault="000F35C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1,05</w:t>
            </w:r>
          </w:p>
          <w:p w14:paraId="4FA13D91" w14:textId="77777777" w:rsidR="000F35C3" w:rsidRDefault="000F35C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1,00</w:t>
            </w:r>
          </w:p>
          <w:p w14:paraId="77C3D4E4" w14:textId="77777777" w:rsidR="000F35C3" w:rsidRDefault="000F35C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 v rámci územního celku</w:t>
            </w:r>
            <w:r>
              <w:rPr>
                <w:rFonts w:ascii="Times New Roman" w:hAnsi="Times New Roman" w:cs="Times New Roman"/>
                <w:color w:val="000000"/>
                <w:kern w:val="0"/>
              </w:rPr>
              <w:tab/>
              <w:t>1,00</w:t>
            </w:r>
          </w:p>
          <w:p w14:paraId="2ECB1A47" w14:textId="77777777" w:rsidR="000F35C3" w:rsidRDefault="000F35C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Poloha v rámci funkčního celku</w:t>
            </w:r>
            <w:r>
              <w:rPr>
                <w:rFonts w:ascii="Times New Roman" w:hAnsi="Times New Roman" w:cs="Times New Roman"/>
                <w:color w:val="000000"/>
                <w:kern w:val="0"/>
              </w:rPr>
              <w:tab/>
              <w:t>1,00</w:t>
            </w:r>
          </w:p>
          <w:p w14:paraId="40BBDB8D" w14:textId="77777777" w:rsidR="000F35C3" w:rsidRDefault="000F35C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Provedení a vybavení</w:t>
            </w:r>
            <w:r>
              <w:rPr>
                <w:rFonts w:ascii="Times New Roman" w:hAnsi="Times New Roman" w:cs="Times New Roman"/>
                <w:color w:val="000000"/>
                <w:kern w:val="0"/>
              </w:rPr>
              <w:tab/>
              <w:t>0,98</w:t>
            </w:r>
          </w:p>
          <w:p w14:paraId="01E28E30" w14:textId="77777777" w:rsidR="000F35C3" w:rsidRDefault="000F35C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1,00</w:t>
            </w:r>
          </w:p>
          <w:p w14:paraId="6B75725E" w14:textId="77777777" w:rsidR="000F35C3" w:rsidRDefault="000F35C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1,00</w:t>
            </w:r>
          </w:p>
        </w:tc>
        <w:tc>
          <w:tcPr>
            <w:tcW w:w="2797" w:type="dxa"/>
            <w:gridSpan w:val="2"/>
            <w:tcBorders>
              <w:top w:val="nil"/>
              <w:left w:val="nil"/>
              <w:bottom w:val="nil"/>
              <w:right w:val="single" w:sz="8" w:space="0" w:color="auto"/>
            </w:tcBorders>
          </w:tcPr>
          <w:p w14:paraId="13B1836E" w14:textId="29E25F55" w:rsidR="000F35C3" w:rsidRDefault="000F35C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23A46AAD" wp14:editId="27F2D501">
                  <wp:extent cx="1516380" cy="107442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6380" cy="107442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1C0BC025" w14:textId="77777777" w:rsidR="000F35C3" w:rsidRDefault="000F35C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14.7.2025 (V-3650/2025-409)</w:t>
            </w:r>
          </w:p>
        </w:tc>
      </w:tr>
      <w:tr w:rsidR="00CF0924" w14:paraId="51AE22E3" w14:textId="77777777">
        <w:tc>
          <w:tcPr>
            <w:tcW w:w="1965" w:type="dxa"/>
            <w:gridSpan w:val="3"/>
            <w:tcBorders>
              <w:top w:val="nil"/>
              <w:left w:val="single" w:sz="8" w:space="0" w:color="auto"/>
              <w:bottom w:val="nil"/>
              <w:right w:val="nil"/>
            </w:tcBorders>
          </w:tcPr>
          <w:p w14:paraId="1B094C00" w14:textId="77777777" w:rsidR="000F35C3" w:rsidRDefault="000F35C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 [</w:t>
            </w:r>
            <w:r>
              <w:rPr>
                <w:rFonts w:ascii="Times New Roman" w:hAnsi="Times New Roman" w:cs="Times New Roman"/>
                <w:color w:val="000000"/>
                <w:kern w:val="0"/>
              </w:rPr>
              <w:t>Kč]</w:t>
            </w:r>
          </w:p>
          <w:p w14:paraId="4EB54AC1" w14:textId="77777777" w:rsidR="000F35C3" w:rsidRDefault="000F35C3">
            <w:pPr>
              <w:widowControl w:val="0"/>
              <w:autoSpaceDE w:val="0"/>
              <w:autoSpaceDN w:val="0"/>
              <w:adjustRightInd w:val="0"/>
              <w:spacing w:after="0" w:line="240" w:lineRule="auto"/>
              <w:jc w:val="center"/>
              <w:rPr>
                <w:rFonts w:ascii="Times New Roman" w:hAnsi="Times New Roman" w:cs="Times New Roman"/>
                <w:b/>
                <w:bCs/>
                <w:color w:val="000000"/>
                <w:kern w:val="0"/>
              </w:rPr>
            </w:pPr>
          </w:p>
        </w:tc>
        <w:tc>
          <w:tcPr>
            <w:tcW w:w="1814" w:type="dxa"/>
            <w:gridSpan w:val="2"/>
            <w:tcBorders>
              <w:top w:val="nil"/>
              <w:left w:val="nil"/>
              <w:bottom w:val="nil"/>
              <w:right w:val="nil"/>
            </w:tcBorders>
          </w:tcPr>
          <w:p w14:paraId="1C01B524" w14:textId="77777777" w:rsidR="000F35C3" w:rsidRDefault="000F35C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Užitná plocha</w:t>
            </w:r>
          </w:p>
          <w:p w14:paraId="088EF68E" w14:textId="77777777" w:rsidR="000F35C3" w:rsidRDefault="000F35C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tc>
        <w:tc>
          <w:tcPr>
            <w:tcW w:w="1701" w:type="dxa"/>
            <w:tcBorders>
              <w:top w:val="nil"/>
              <w:left w:val="nil"/>
              <w:bottom w:val="nil"/>
              <w:right w:val="nil"/>
            </w:tcBorders>
          </w:tcPr>
          <w:p w14:paraId="6F955C35" w14:textId="77777777" w:rsidR="000F35C3" w:rsidRDefault="000F35C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Jedn. cena</w:t>
            </w:r>
          </w:p>
          <w:p w14:paraId="4FFF470D" w14:textId="77777777" w:rsidR="000F35C3" w:rsidRDefault="000F35C3">
            <w:pPr>
              <w:widowControl w:val="0"/>
              <w:autoSpaceDE w:val="0"/>
              <w:autoSpaceDN w:val="0"/>
              <w:adjustRightInd w:val="0"/>
              <w:spacing w:after="0" w:line="240" w:lineRule="auto"/>
              <w:jc w:val="center"/>
              <w:rPr>
                <w:rFonts w:ascii="Times New Roman" w:hAnsi="Times New Roman" w:cs="Times New Roman"/>
                <w:color w:val="000000"/>
                <w:kern w:val="0"/>
                <w:vertAlign w:val="superscript"/>
              </w:rPr>
            </w:pPr>
            <w:r>
              <w:rPr>
                <w:rFonts w:ascii="Times New Roman" w:hAnsi="Times New Roman" w:cs="Times New Roman"/>
                <w:color w:val="000000"/>
                <w:kern w:val="0"/>
              </w:rPr>
              <w:t>Kč/m</w:t>
            </w:r>
            <w:r>
              <w:rPr>
                <w:rFonts w:ascii="Times New Roman" w:hAnsi="Times New Roman" w:cs="Times New Roman"/>
                <w:color w:val="000000"/>
                <w:kern w:val="0"/>
                <w:vertAlign w:val="superscript"/>
              </w:rPr>
              <w:t>2</w:t>
            </w:r>
          </w:p>
        </w:tc>
        <w:tc>
          <w:tcPr>
            <w:tcW w:w="1776" w:type="dxa"/>
            <w:gridSpan w:val="2"/>
            <w:tcBorders>
              <w:top w:val="nil"/>
              <w:left w:val="nil"/>
              <w:bottom w:val="nil"/>
              <w:right w:val="nil"/>
            </w:tcBorders>
          </w:tcPr>
          <w:p w14:paraId="0F55A9D9" w14:textId="77777777" w:rsidR="000F35C3" w:rsidRDefault="000F35C3">
            <w:pPr>
              <w:widowControl w:val="0"/>
              <w:tabs>
                <w:tab w:val="decimal" w:pos="360"/>
                <w:tab w:val="left" w:pos="3690"/>
              </w:tabs>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Celkový koef.</w:t>
            </w:r>
          </w:p>
          <w:p w14:paraId="6461A16D" w14:textId="77777777" w:rsidR="000F35C3" w:rsidRDefault="000F35C3">
            <w:pPr>
              <w:widowControl w:val="0"/>
              <w:tabs>
                <w:tab w:val="decimal" w:pos="360"/>
                <w:tab w:val="left" w:pos="3690"/>
              </w:tabs>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K</w:t>
            </w:r>
            <w:r>
              <w:rPr>
                <w:rFonts w:ascii="Times New Roman" w:hAnsi="Times New Roman" w:cs="Times New Roman"/>
                <w:b/>
                <w:bCs/>
                <w:color w:val="000000"/>
                <w:kern w:val="0"/>
                <w:vertAlign w:val="subscript"/>
              </w:rPr>
              <w:t>C</w:t>
            </w:r>
          </w:p>
        </w:tc>
        <w:tc>
          <w:tcPr>
            <w:tcW w:w="2382" w:type="dxa"/>
            <w:tcBorders>
              <w:top w:val="nil"/>
              <w:left w:val="nil"/>
              <w:bottom w:val="nil"/>
              <w:right w:val="single" w:sz="8" w:space="0" w:color="auto"/>
            </w:tcBorders>
          </w:tcPr>
          <w:p w14:paraId="107ACA43" w14:textId="77777777" w:rsidR="000F35C3" w:rsidRDefault="000F35C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b/>
                <w:bCs/>
                <w:color w:val="000000"/>
                <w:kern w:val="0"/>
              </w:rPr>
              <w:t xml:space="preserve">Upravená j. cena </w:t>
            </w:r>
            <w:r>
              <w:rPr>
                <w:rFonts w:ascii="Times New Roman" w:hAnsi="Times New Roman" w:cs="Times New Roman"/>
                <w:color w:val="000000"/>
                <w:kern w:val="0"/>
              </w:rPr>
              <w:t>[Kč/m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tc>
      </w:tr>
      <w:tr w:rsidR="00CF0924" w14:paraId="6BBD1736" w14:textId="77777777">
        <w:tc>
          <w:tcPr>
            <w:tcW w:w="1965" w:type="dxa"/>
            <w:gridSpan w:val="3"/>
            <w:tcBorders>
              <w:top w:val="nil"/>
              <w:left w:val="single" w:sz="8" w:space="0" w:color="auto"/>
              <w:bottom w:val="single" w:sz="6" w:space="0" w:color="auto"/>
              <w:right w:val="nil"/>
            </w:tcBorders>
          </w:tcPr>
          <w:p w14:paraId="207D414C" w14:textId="77777777" w:rsidR="000F35C3" w:rsidRDefault="000F35C3">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1 520 000</w:t>
            </w:r>
          </w:p>
        </w:tc>
        <w:tc>
          <w:tcPr>
            <w:tcW w:w="1814" w:type="dxa"/>
            <w:gridSpan w:val="2"/>
            <w:tcBorders>
              <w:top w:val="nil"/>
              <w:left w:val="nil"/>
              <w:bottom w:val="single" w:sz="8" w:space="0" w:color="auto"/>
              <w:right w:val="nil"/>
            </w:tcBorders>
          </w:tcPr>
          <w:p w14:paraId="003ECA7E" w14:textId="77777777" w:rsidR="000F35C3" w:rsidRDefault="000F35C3">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54,21</w:t>
            </w:r>
          </w:p>
        </w:tc>
        <w:tc>
          <w:tcPr>
            <w:tcW w:w="1701" w:type="dxa"/>
            <w:tcBorders>
              <w:top w:val="nil"/>
              <w:left w:val="nil"/>
              <w:bottom w:val="single" w:sz="8" w:space="0" w:color="auto"/>
              <w:right w:val="nil"/>
            </w:tcBorders>
          </w:tcPr>
          <w:p w14:paraId="03EAFB00" w14:textId="77777777" w:rsidR="000F35C3" w:rsidRDefault="000F35C3">
            <w:pPr>
              <w:widowControl w:val="0"/>
              <w:autoSpaceDE w:val="0"/>
              <w:autoSpaceDN w:val="0"/>
              <w:adjustRightInd w:val="0"/>
              <w:spacing w:after="0" w:line="240" w:lineRule="auto"/>
              <w:ind w:right="270"/>
              <w:jc w:val="center"/>
              <w:rPr>
                <w:rFonts w:ascii="Times New Roman" w:hAnsi="Times New Roman" w:cs="Times New Roman"/>
                <w:color w:val="000000"/>
                <w:kern w:val="0"/>
              </w:rPr>
            </w:pPr>
            <w:r>
              <w:rPr>
                <w:rFonts w:ascii="Times New Roman" w:hAnsi="Times New Roman" w:cs="Times New Roman"/>
                <w:color w:val="000000"/>
                <w:kern w:val="0"/>
              </w:rPr>
              <w:t>28 039</w:t>
            </w:r>
          </w:p>
        </w:tc>
        <w:tc>
          <w:tcPr>
            <w:tcW w:w="1776" w:type="dxa"/>
            <w:gridSpan w:val="2"/>
            <w:tcBorders>
              <w:top w:val="nil"/>
              <w:left w:val="nil"/>
              <w:bottom w:val="single" w:sz="8" w:space="0" w:color="auto"/>
              <w:right w:val="nil"/>
            </w:tcBorders>
          </w:tcPr>
          <w:p w14:paraId="68ABDD74" w14:textId="77777777" w:rsidR="000F35C3" w:rsidRDefault="000F35C3">
            <w:pPr>
              <w:widowControl w:val="0"/>
              <w:tabs>
                <w:tab w:val="decimal" w:pos="360"/>
                <w:tab w:val="left" w:pos="3690"/>
              </w:tabs>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1,03</w:t>
            </w:r>
          </w:p>
        </w:tc>
        <w:tc>
          <w:tcPr>
            <w:tcW w:w="2382" w:type="dxa"/>
            <w:tcBorders>
              <w:top w:val="nil"/>
              <w:left w:val="nil"/>
              <w:bottom w:val="single" w:sz="6" w:space="0" w:color="auto"/>
              <w:right w:val="single" w:sz="8" w:space="0" w:color="auto"/>
            </w:tcBorders>
          </w:tcPr>
          <w:p w14:paraId="245BAB08" w14:textId="77777777" w:rsidR="000F35C3" w:rsidRDefault="000F35C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28 880</w:t>
            </w:r>
          </w:p>
        </w:tc>
      </w:tr>
    </w:tbl>
    <w:p w14:paraId="5030737E" w14:textId="77777777" w:rsidR="000F35C3" w:rsidRDefault="000F35C3">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6916"/>
        <w:gridCol w:w="2722"/>
      </w:tblGrid>
      <w:tr w:rsidR="00CF0924" w14:paraId="59985BAD" w14:textId="77777777">
        <w:tc>
          <w:tcPr>
            <w:tcW w:w="6916" w:type="dxa"/>
            <w:tcBorders>
              <w:top w:val="single" w:sz="6" w:space="0" w:color="auto"/>
              <w:left w:val="single" w:sz="8" w:space="0" w:color="auto"/>
              <w:bottom w:val="nil"/>
              <w:right w:val="nil"/>
            </w:tcBorders>
          </w:tcPr>
          <w:p w14:paraId="6DCB92CB" w14:textId="77777777" w:rsidR="000F35C3" w:rsidRDefault="000F35C3">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Minimální jednotková porovnávací cena</w:t>
            </w:r>
          </w:p>
        </w:tc>
        <w:tc>
          <w:tcPr>
            <w:tcW w:w="2722" w:type="dxa"/>
            <w:tcBorders>
              <w:top w:val="single" w:sz="6" w:space="0" w:color="auto"/>
              <w:left w:val="nil"/>
              <w:bottom w:val="nil"/>
              <w:right w:val="single" w:sz="8" w:space="0" w:color="auto"/>
            </w:tcBorders>
          </w:tcPr>
          <w:p w14:paraId="35CB76C6" w14:textId="77777777" w:rsidR="000F35C3" w:rsidRDefault="000F35C3">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vertAlign w:val="superscript"/>
              </w:rPr>
            </w:pPr>
            <w:r>
              <w:rPr>
                <w:rFonts w:ascii="Times New Roman" w:hAnsi="Times New Roman" w:cs="Times New Roman"/>
                <w:color w:val="000000"/>
                <w:kern w:val="0"/>
              </w:rPr>
              <w:t>28 880 Kč/m</w:t>
            </w:r>
            <w:r>
              <w:rPr>
                <w:rFonts w:ascii="Times New Roman" w:hAnsi="Times New Roman" w:cs="Times New Roman"/>
                <w:color w:val="000000"/>
                <w:kern w:val="0"/>
                <w:vertAlign w:val="superscript"/>
              </w:rPr>
              <w:t>2</w:t>
            </w:r>
          </w:p>
        </w:tc>
      </w:tr>
      <w:tr w:rsidR="00CF0924" w14:paraId="3746408D" w14:textId="77777777">
        <w:tc>
          <w:tcPr>
            <w:tcW w:w="6916" w:type="dxa"/>
            <w:tcBorders>
              <w:top w:val="nil"/>
              <w:left w:val="single" w:sz="8" w:space="0" w:color="auto"/>
              <w:bottom w:val="nil"/>
              <w:right w:val="nil"/>
            </w:tcBorders>
          </w:tcPr>
          <w:p w14:paraId="4501DC35" w14:textId="77777777" w:rsidR="000F35C3" w:rsidRDefault="000F35C3">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Průměrná jednotková porovnávací cena</w:t>
            </w:r>
          </w:p>
        </w:tc>
        <w:tc>
          <w:tcPr>
            <w:tcW w:w="2722" w:type="dxa"/>
            <w:tcBorders>
              <w:top w:val="nil"/>
              <w:left w:val="nil"/>
              <w:bottom w:val="nil"/>
              <w:right w:val="single" w:sz="8" w:space="0" w:color="auto"/>
            </w:tcBorders>
          </w:tcPr>
          <w:p w14:paraId="7369A75B" w14:textId="77777777" w:rsidR="000F35C3" w:rsidRDefault="000F35C3">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vertAlign w:val="superscript"/>
              </w:rPr>
            </w:pPr>
            <w:r>
              <w:rPr>
                <w:rFonts w:ascii="Times New Roman" w:hAnsi="Times New Roman" w:cs="Times New Roman"/>
                <w:color w:val="000000"/>
                <w:kern w:val="0"/>
              </w:rPr>
              <w:t>31 108 Kč/m</w:t>
            </w:r>
            <w:r>
              <w:rPr>
                <w:rFonts w:ascii="Times New Roman" w:hAnsi="Times New Roman" w:cs="Times New Roman"/>
                <w:color w:val="000000"/>
                <w:kern w:val="0"/>
                <w:vertAlign w:val="superscript"/>
              </w:rPr>
              <w:t>2</w:t>
            </w:r>
          </w:p>
        </w:tc>
      </w:tr>
      <w:tr w:rsidR="00CF0924" w14:paraId="215CC5CE" w14:textId="77777777">
        <w:tc>
          <w:tcPr>
            <w:tcW w:w="6916" w:type="dxa"/>
            <w:tcBorders>
              <w:top w:val="nil"/>
              <w:left w:val="single" w:sz="8" w:space="0" w:color="auto"/>
              <w:bottom w:val="nil"/>
              <w:right w:val="nil"/>
            </w:tcBorders>
          </w:tcPr>
          <w:p w14:paraId="1D2729AE" w14:textId="77777777" w:rsidR="000F35C3" w:rsidRDefault="000F35C3">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Maximální jednotková porovnávací cena</w:t>
            </w:r>
          </w:p>
        </w:tc>
        <w:tc>
          <w:tcPr>
            <w:tcW w:w="2722" w:type="dxa"/>
            <w:tcBorders>
              <w:top w:val="nil"/>
              <w:left w:val="nil"/>
              <w:bottom w:val="nil"/>
              <w:right w:val="single" w:sz="8" w:space="0" w:color="auto"/>
            </w:tcBorders>
          </w:tcPr>
          <w:p w14:paraId="0276C47E" w14:textId="77777777" w:rsidR="000F35C3" w:rsidRDefault="000F35C3">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vertAlign w:val="superscript"/>
              </w:rPr>
            </w:pPr>
            <w:r>
              <w:rPr>
                <w:rFonts w:ascii="Times New Roman" w:hAnsi="Times New Roman" w:cs="Times New Roman"/>
                <w:color w:val="000000"/>
                <w:kern w:val="0"/>
              </w:rPr>
              <w:t>35 482 Kč/m</w:t>
            </w:r>
            <w:r>
              <w:rPr>
                <w:rFonts w:ascii="Times New Roman" w:hAnsi="Times New Roman" w:cs="Times New Roman"/>
                <w:color w:val="000000"/>
                <w:kern w:val="0"/>
                <w:vertAlign w:val="superscript"/>
              </w:rPr>
              <w:t>2</w:t>
            </w:r>
          </w:p>
        </w:tc>
      </w:tr>
      <w:tr w:rsidR="00CF0924" w14:paraId="45B338F8" w14:textId="77777777">
        <w:tc>
          <w:tcPr>
            <w:tcW w:w="6916" w:type="dxa"/>
            <w:tcBorders>
              <w:top w:val="single" w:sz="8" w:space="0" w:color="auto"/>
              <w:left w:val="nil"/>
              <w:bottom w:val="nil"/>
              <w:right w:val="nil"/>
            </w:tcBorders>
          </w:tcPr>
          <w:p w14:paraId="7F1D33DF" w14:textId="77777777" w:rsidR="000F35C3" w:rsidRDefault="000F35C3">
            <w:pPr>
              <w:widowControl w:val="0"/>
              <w:autoSpaceDE w:val="0"/>
              <w:autoSpaceDN w:val="0"/>
              <w:adjustRightInd w:val="0"/>
              <w:spacing w:before="20" w:after="0" w:line="240" w:lineRule="auto"/>
              <w:ind w:left="113"/>
              <w:rPr>
                <w:rFonts w:ascii="Times New Roman" w:hAnsi="Times New Roman" w:cs="Times New Roman"/>
                <w:color w:val="000000"/>
                <w:kern w:val="0"/>
                <w:sz w:val="8"/>
                <w:szCs w:val="8"/>
              </w:rPr>
            </w:pPr>
          </w:p>
        </w:tc>
        <w:tc>
          <w:tcPr>
            <w:tcW w:w="2722" w:type="dxa"/>
            <w:tcBorders>
              <w:top w:val="single" w:sz="8" w:space="0" w:color="auto"/>
              <w:left w:val="nil"/>
              <w:bottom w:val="nil"/>
              <w:right w:val="nil"/>
            </w:tcBorders>
          </w:tcPr>
          <w:p w14:paraId="1E5BE029" w14:textId="77777777" w:rsidR="000F35C3" w:rsidRDefault="000F35C3">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sz w:val="8"/>
                <w:szCs w:val="8"/>
              </w:rPr>
            </w:pPr>
          </w:p>
        </w:tc>
      </w:tr>
    </w:tbl>
    <w:p w14:paraId="079D6527" w14:textId="77777777" w:rsidR="000F35C3" w:rsidRDefault="000F35C3">
      <w:pPr>
        <w:widowControl w:val="0"/>
        <w:autoSpaceDE w:val="0"/>
        <w:autoSpaceDN w:val="0"/>
        <w:adjustRightInd w:val="0"/>
        <w:spacing w:after="0" w:line="240" w:lineRule="auto"/>
        <w:rPr>
          <w:rFonts w:ascii="Times New Roman" w:hAnsi="Times New Roman" w:cs="Times New Roman"/>
          <w:color w:val="000000"/>
          <w:kern w:val="0"/>
          <w:sz w:val="20"/>
          <w:szCs w:val="20"/>
        </w:rPr>
      </w:pPr>
    </w:p>
    <w:p w14:paraId="3C3E4197" w14:textId="77777777" w:rsidR="000F35C3" w:rsidRDefault="000F35C3">
      <w:pPr>
        <w:widowControl w:val="0"/>
        <w:tabs>
          <w:tab w:val="left" w:pos="5490"/>
        </w:tabs>
        <w:autoSpaceDE w:val="0"/>
        <w:autoSpaceDN w:val="0"/>
        <w:adjustRightInd w:val="0"/>
        <w:spacing w:after="0" w:line="240" w:lineRule="auto"/>
        <w:rPr>
          <w:rFonts w:ascii="Times New Roman" w:hAnsi="Times New Roman" w:cs="Times New Roman"/>
          <w:color w:val="000000"/>
          <w:kern w:val="0"/>
          <w:sz w:val="20"/>
          <w:szCs w:val="20"/>
        </w:rPr>
      </w:pPr>
    </w:p>
    <w:tbl>
      <w:tblPr>
        <w:tblW w:w="0" w:type="auto"/>
        <w:tblInd w:w="8" w:type="dxa"/>
        <w:tblLayout w:type="fixed"/>
        <w:tblCellMar>
          <w:left w:w="0" w:type="dxa"/>
          <w:right w:w="0" w:type="dxa"/>
        </w:tblCellMar>
        <w:tblLook w:val="0000" w:firstRow="0" w:lastRow="0" w:firstColumn="0" w:lastColumn="0" w:noHBand="0" w:noVBand="0"/>
      </w:tblPr>
      <w:tblGrid>
        <w:gridCol w:w="6916"/>
        <w:gridCol w:w="2722"/>
      </w:tblGrid>
      <w:tr w:rsidR="00CF0924" w14:paraId="7BBA4834" w14:textId="77777777">
        <w:tc>
          <w:tcPr>
            <w:tcW w:w="9638" w:type="dxa"/>
            <w:gridSpan w:val="2"/>
            <w:tcBorders>
              <w:top w:val="single" w:sz="6" w:space="0" w:color="auto"/>
              <w:left w:val="single" w:sz="6" w:space="0" w:color="auto"/>
              <w:bottom w:val="nil"/>
              <w:right w:val="single" w:sz="8" w:space="0" w:color="auto"/>
            </w:tcBorders>
          </w:tcPr>
          <w:p w14:paraId="3B670F14" w14:textId="77777777" w:rsidR="000F35C3" w:rsidRDefault="000F35C3">
            <w:pPr>
              <w:widowControl w:val="0"/>
              <w:autoSpaceDE w:val="0"/>
              <w:autoSpaceDN w:val="0"/>
              <w:adjustRightInd w:val="0"/>
              <w:spacing w:before="57"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Výpočet porovnávací hodnoty na základě užitné plochy</w:t>
            </w:r>
          </w:p>
        </w:tc>
      </w:tr>
      <w:tr w:rsidR="00CF0924" w14:paraId="1F0C4554" w14:textId="77777777">
        <w:tc>
          <w:tcPr>
            <w:tcW w:w="6916" w:type="dxa"/>
            <w:tcBorders>
              <w:top w:val="nil"/>
              <w:left w:val="single" w:sz="8" w:space="0" w:color="auto"/>
              <w:bottom w:val="nil"/>
              <w:right w:val="nil"/>
            </w:tcBorders>
          </w:tcPr>
          <w:p w14:paraId="34710035" w14:textId="77777777" w:rsidR="000F35C3" w:rsidRDefault="000F35C3">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Průměrná jednotková cena</w:t>
            </w:r>
          </w:p>
        </w:tc>
        <w:tc>
          <w:tcPr>
            <w:tcW w:w="2722" w:type="dxa"/>
            <w:tcBorders>
              <w:top w:val="nil"/>
              <w:left w:val="nil"/>
              <w:bottom w:val="nil"/>
              <w:right w:val="single" w:sz="8" w:space="0" w:color="auto"/>
            </w:tcBorders>
          </w:tcPr>
          <w:p w14:paraId="6E21BAE8" w14:textId="77777777" w:rsidR="000F35C3" w:rsidRDefault="000F35C3">
            <w:pPr>
              <w:widowControl w:val="0"/>
              <w:tabs>
                <w:tab w:val="decimal" w:pos="1260"/>
                <w:tab w:val="left" w:pos="2430"/>
              </w:tabs>
              <w:autoSpaceDE w:val="0"/>
              <w:autoSpaceDN w:val="0"/>
              <w:adjustRightInd w:val="0"/>
              <w:spacing w:before="20" w:after="0" w:line="240" w:lineRule="auto"/>
              <w:jc w:val="center"/>
              <w:rPr>
                <w:rFonts w:ascii="Times New Roman" w:hAnsi="Times New Roman" w:cs="Times New Roman"/>
                <w:b/>
                <w:bCs/>
                <w:color w:val="000000"/>
                <w:kern w:val="0"/>
                <w:vertAlign w:val="superscript"/>
              </w:rPr>
            </w:pPr>
            <w:r>
              <w:rPr>
                <w:rFonts w:ascii="Times New Roman" w:hAnsi="Times New Roman" w:cs="Times New Roman"/>
                <w:b/>
                <w:bCs/>
                <w:color w:val="000000"/>
                <w:kern w:val="0"/>
              </w:rPr>
              <w:t>31 108 Kč/m</w:t>
            </w:r>
            <w:r>
              <w:rPr>
                <w:rFonts w:ascii="Times New Roman" w:hAnsi="Times New Roman" w:cs="Times New Roman"/>
                <w:b/>
                <w:bCs/>
                <w:color w:val="000000"/>
                <w:kern w:val="0"/>
                <w:vertAlign w:val="superscript"/>
              </w:rPr>
              <w:t>2</w:t>
            </w:r>
          </w:p>
        </w:tc>
      </w:tr>
      <w:tr w:rsidR="00CF0924" w14:paraId="1678E15F" w14:textId="77777777">
        <w:tc>
          <w:tcPr>
            <w:tcW w:w="6916" w:type="dxa"/>
            <w:tcBorders>
              <w:top w:val="nil"/>
              <w:left w:val="single" w:sz="8" w:space="0" w:color="auto"/>
              <w:bottom w:val="nil"/>
              <w:right w:val="nil"/>
            </w:tcBorders>
          </w:tcPr>
          <w:p w14:paraId="34CC627C" w14:textId="77777777" w:rsidR="000F35C3" w:rsidRDefault="000F35C3">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Celková užitná plocha oceňované nemovité věci</w:t>
            </w:r>
          </w:p>
        </w:tc>
        <w:tc>
          <w:tcPr>
            <w:tcW w:w="2722" w:type="dxa"/>
            <w:tcBorders>
              <w:top w:val="nil"/>
              <w:left w:val="nil"/>
              <w:bottom w:val="nil"/>
              <w:right w:val="single" w:sz="8" w:space="0" w:color="auto"/>
            </w:tcBorders>
          </w:tcPr>
          <w:p w14:paraId="1FEB0704" w14:textId="77777777" w:rsidR="000F35C3" w:rsidRDefault="000F35C3">
            <w:pPr>
              <w:widowControl w:val="0"/>
              <w:tabs>
                <w:tab w:val="decimal" w:pos="1260"/>
                <w:tab w:val="left" w:pos="2520"/>
              </w:tabs>
              <w:autoSpaceDE w:val="0"/>
              <w:autoSpaceDN w:val="0"/>
              <w:adjustRightInd w:val="0"/>
              <w:spacing w:before="20" w:after="0" w:line="240" w:lineRule="auto"/>
              <w:jc w:val="center"/>
              <w:rPr>
                <w:rFonts w:ascii="Times New Roman" w:hAnsi="Times New Roman" w:cs="Times New Roman"/>
                <w:color w:val="000000"/>
                <w:kern w:val="0"/>
                <w:vertAlign w:val="superscript"/>
              </w:rPr>
            </w:pPr>
            <w:r>
              <w:rPr>
                <w:rFonts w:ascii="Times New Roman" w:hAnsi="Times New Roman" w:cs="Times New Roman"/>
                <w:color w:val="000000"/>
                <w:kern w:val="0"/>
              </w:rPr>
              <w:t>54,33 m</w:t>
            </w:r>
            <w:r>
              <w:rPr>
                <w:rFonts w:ascii="Times New Roman" w:hAnsi="Times New Roman" w:cs="Times New Roman"/>
                <w:color w:val="000000"/>
                <w:kern w:val="0"/>
                <w:vertAlign w:val="superscript"/>
              </w:rPr>
              <w:t>2</w:t>
            </w:r>
          </w:p>
        </w:tc>
      </w:tr>
      <w:tr w:rsidR="00CF0924" w14:paraId="6FF4DCCB" w14:textId="77777777">
        <w:tc>
          <w:tcPr>
            <w:tcW w:w="6916" w:type="dxa"/>
            <w:tcBorders>
              <w:top w:val="nil"/>
              <w:left w:val="single" w:sz="8" w:space="0" w:color="auto"/>
              <w:bottom w:val="single" w:sz="6" w:space="0" w:color="auto"/>
              <w:right w:val="nil"/>
            </w:tcBorders>
          </w:tcPr>
          <w:p w14:paraId="366AC6D7" w14:textId="77777777" w:rsidR="000F35C3" w:rsidRDefault="000F35C3">
            <w:pPr>
              <w:widowControl w:val="0"/>
              <w:autoSpaceDE w:val="0"/>
              <w:autoSpaceDN w:val="0"/>
              <w:adjustRightInd w:val="0"/>
              <w:spacing w:before="113"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Výsledná porovnávací hodnota</w:t>
            </w:r>
          </w:p>
        </w:tc>
        <w:tc>
          <w:tcPr>
            <w:tcW w:w="2722" w:type="dxa"/>
            <w:tcBorders>
              <w:top w:val="nil"/>
              <w:left w:val="nil"/>
              <w:bottom w:val="single" w:sz="6" w:space="0" w:color="auto"/>
              <w:right w:val="single" w:sz="8" w:space="0" w:color="auto"/>
            </w:tcBorders>
          </w:tcPr>
          <w:p w14:paraId="395AEAF7" w14:textId="77777777" w:rsidR="000F35C3" w:rsidRDefault="000F35C3">
            <w:pPr>
              <w:widowControl w:val="0"/>
              <w:tabs>
                <w:tab w:val="decimal" w:pos="1530"/>
                <w:tab w:val="left" w:pos="2520"/>
              </w:tabs>
              <w:autoSpaceDE w:val="0"/>
              <w:autoSpaceDN w:val="0"/>
              <w:adjustRightInd w:val="0"/>
              <w:spacing w:before="113"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1 690 098 Kč</w:t>
            </w:r>
          </w:p>
        </w:tc>
      </w:tr>
    </w:tbl>
    <w:p w14:paraId="1FC75A80" w14:textId="77777777" w:rsidR="000F35C3" w:rsidRDefault="000F35C3">
      <w:pPr>
        <w:widowControl w:val="0"/>
        <w:tabs>
          <w:tab w:val="left" w:pos="5490"/>
        </w:tabs>
        <w:autoSpaceDE w:val="0"/>
        <w:autoSpaceDN w:val="0"/>
        <w:adjustRightInd w:val="0"/>
        <w:spacing w:after="0" w:line="240" w:lineRule="auto"/>
        <w:rPr>
          <w:rFonts w:ascii="Times New Roman" w:hAnsi="Times New Roman" w:cs="Times New Roman"/>
          <w:color w:val="000000"/>
          <w:kern w:val="0"/>
          <w:sz w:val="16"/>
          <w:szCs w:val="16"/>
        </w:rPr>
      </w:pPr>
    </w:p>
    <w:p w14:paraId="5191FC36"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Postup výpočtu</w:t>
      </w:r>
    </w:p>
    <w:p w14:paraId="688583BF"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Získaná data se vyhodnocují primárně metodou porovnávací, výjimečně dle specifikace nebo charakteru nemovité věci lze použit i jiné metody např. výnosovou v takovém případně je volba metody v posudku řádně odůvodněna, proč došlo k tomu postupu.</w:t>
      </w:r>
    </w:p>
    <w:p w14:paraId="651C384F"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b/>
          <w:bCs/>
          <w:color w:val="000000"/>
          <w:kern w:val="0"/>
        </w:rPr>
      </w:pPr>
    </w:p>
    <w:p w14:paraId="06A92D8E"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Ocenění je provedeno „cenou obvyklou” ve smyslu definice uvedené §2, odst. 1 až 9 zákona č. 151/1997 Sb., o oceňování majetku a o změně některých zákonů (zákon o oceňování majetku), ve znění pozdějších předpisů:</w:t>
      </w:r>
    </w:p>
    <w:p w14:paraId="234567EB"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p>
    <w:p w14:paraId="38B07937"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1) Pokud tento zákon nestanoví jiný způsob oceňování, oceňují se majetek a služba obvyklou cenou.</w:t>
      </w:r>
    </w:p>
    <w:p w14:paraId="6526FA76"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p>
    <w:p w14:paraId="236365A6"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u w:val="single"/>
        </w:rPr>
      </w:pPr>
      <w:r>
        <w:rPr>
          <w:rFonts w:ascii="Times New Roman" w:hAnsi="Times New Roman" w:cs="Times New Roman"/>
          <w:color w:val="000000"/>
          <w:kern w:val="0"/>
        </w:rPr>
        <w:t xml:space="preserve">(2) Obvyklou cenou se pro účely tohoto zákona rozumí cena, která by byla dosažena při prodejích stejného, popřípadě obdobného majetku nebo při poskytování stejné nebo obdobné služby v obvyklém obchodním styku v tuzemsku ke dni ocenění. Přitom se zvažují všechny okolnosti, které mají na cenu vliv, avšak do její výše se nepromítají vlivy mimořádných okolností trhu, osobních poměrů prodávajícího nebo kupujícího ani vliv zvláštní obliby. Mimořádnými okolnostmi trhu se rozumějí například stav tísně prodávajícího nebo kupujícího, důsledky přírodních či jiných kalamit. Osobními poměry se rozumějí zejména vztahy majetkové, rodinné nebo jiné osobní vztahy mezi prodávajícím a kupujícím. Zvláštní oblibou se rozumí zvláštní hodnota přikládaná majetku nebo službě vyplývající z osobního vztahu k nim. </w:t>
      </w:r>
      <w:r>
        <w:rPr>
          <w:rFonts w:ascii="Times New Roman" w:hAnsi="Times New Roman" w:cs="Times New Roman"/>
          <w:color w:val="000000"/>
          <w:kern w:val="0"/>
          <w:u w:val="single"/>
        </w:rPr>
        <w:t>Obvyklá cena vyjadřuje hodnotu majetku nebo služby a určí se ze sjednaných cen porovnáním.</w:t>
      </w:r>
    </w:p>
    <w:p w14:paraId="373F508C"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p>
    <w:p w14:paraId="1301CA07"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(3) V odůvodněných případech, kdy nelze obvyklou cenu určit, oceňuje se majetek a služba tržní hodnotou, pokud zvláštní právní předpis nestanoví jinak. Přitom se zvažují všechny okolnosti, které </w:t>
      </w:r>
      <w:r>
        <w:rPr>
          <w:rFonts w:ascii="Times New Roman" w:hAnsi="Times New Roman" w:cs="Times New Roman"/>
          <w:color w:val="000000"/>
          <w:kern w:val="0"/>
        </w:rPr>
        <w:lastRenderedPageBreak/>
        <w:t>mají na tržní hodnotu vliv. Důvody pro neurčení obvyklé ceny musejí být v ocenění uvedeny.</w:t>
      </w:r>
    </w:p>
    <w:p w14:paraId="46B026BD"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p>
    <w:p w14:paraId="6ECB0357"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(4) Tržní hodnotou se pro účely tohoto zákona rozumí odhadovaná částka, za kterou by měly být majetek nebo služba směněny ke dni ocenění mezi ochotným kupujícím a ochotným prodávajícím, a to v obchodním styku uskutečněném v souladu s principem tržního odstupu, po náležitém marketingu, kdy každá ze stran jednala informovaně, uvážlivě a nikoli v tísni. Principem tržního odstupu se pro účely tohoto zákona rozumí, že účastníci směny jsou osobami, které mezi sebou nemají žádný zvláštní vzájemný vztah a jednají vzájemně nezávisle.</w:t>
      </w:r>
    </w:p>
    <w:p w14:paraId="7D4C02E8"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p>
    <w:p w14:paraId="68188A78"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(5) Určení obvyklé ceny a tržní hodnoty a postup při tomto určení musejí být z ocenění zřejmé, jejich použití, včetně použitých údajů, musí být odůvodněno a odpovídat druhu předmětu ocenění, účelu ocenění a dostupnosti objektivních dat využitelných pro ocenění. Podrobnosti k určení obvyklé ceny a tržní hodnoty stanoví vyhláška.</w:t>
      </w:r>
    </w:p>
    <w:p w14:paraId="1085181B"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p>
    <w:p w14:paraId="5CFA769C"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(6) Mimořádnou cenou se rozumí cena, do jejíž výše se promítly mimořádné okolnosti trhu, osobní poměry prodávajícího nebo kupujícího nebo vliv zvláštní obliby.</w:t>
      </w:r>
    </w:p>
    <w:p w14:paraId="0FA51E5C"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p>
    <w:p w14:paraId="4C8A612C"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(7) Cena určená podle tohoto zákona jinak než obvyklá cena, mimořádná cena nebo tržní hodnota, je cena zjištěná.</w:t>
      </w:r>
    </w:p>
    <w:p w14:paraId="73BEC633"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p>
    <w:p w14:paraId="78C67DF9"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(8) Službou je poskytování činností nebo hmotně zachytitelných výsledků činností.</w:t>
      </w:r>
    </w:p>
    <w:p w14:paraId="71DBA593"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p>
    <w:p w14:paraId="126BFCCE"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(9) Jiným způsobem oceňování stanoveným tímto zákonem nebo na jeho základě je</w:t>
      </w:r>
    </w:p>
    <w:p w14:paraId="53CE1CD0"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p>
    <w:p w14:paraId="25343753"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a) nákladový způsob, který vychází z nákladů, které by bylo nutno vynaložit na pořízení předmětu ocenění v místě ocenění a podle jeho stavu ke dni ocenění,</w:t>
      </w:r>
    </w:p>
    <w:p w14:paraId="5F3B23DF"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p>
    <w:p w14:paraId="7ADC0F1B"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 výnosový způsob, který vychází z výnosu z předmětu ocenění skutečně dosahovaného nebo z výnosu, který lze z předmětu ocenění za daných podmínek obvykle získat, a z kapitalizace tohoto výnosu (úrokové míry),</w:t>
      </w:r>
    </w:p>
    <w:p w14:paraId="673C6AA1"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p>
    <w:p w14:paraId="13D38B04"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c) porovnávací způsob, který vychází z porovnání předmětu ocenění se stejným nebo obdobným předmětem a cenou sjednanou při jeho prodeji; je jím též ocenění věci odvozením z ceny jiné funkčně související věci,</w:t>
      </w:r>
    </w:p>
    <w:p w14:paraId="3588DAD7"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p>
    <w:p w14:paraId="5E404165"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 oceňování podle jmenovité hodnoty, které vychází z částky, na kterou předmět ocenění zní nebo která je jinak zřejmá,</w:t>
      </w:r>
    </w:p>
    <w:p w14:paraId="6219B0FB"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p>
    <w:p w14:paraId="0EA77F9A"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e) oceňování podle účetní hodnoty, které vychází ze způsobů oceňování stanovených na základě předpisů o účetnictví,</w:t>
      </w:r>
    </w:p>
    <w:p w14:paraId="4AD6F86F"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p>
    <w:p w14:paraId="34058AB9"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f) oceňování podle kurzové hodnoty, které vychází z ceny předmětu ocenění zaznamenané ve stanoveném období na trhu,</w:t>
      </w:r>
    </w:p>
    <w:p w14:paraId="53A7B139"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p>
    <w:p w14:paraId="6346C5A0"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g) oceňování sjednanou cenou, kterou je cena předmětu ocenění sjednaná při jeho prodeji, popřípadě cena odvozená ze sjednaných cen.</w:t>
      </w:r>
    </w:p>
    <w:p w14:paraId="2D1876E0"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p>
    <w:p w14:paraId="1E952A7F"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Obvyklá cena se stanoví porovnávací metodou na základě přímého porovnání, a to na základě přepočtu přes cenu nebo užitnou plochu zpravidla min. tří (jsou-li k dispozici) obdobných nemovitých věcí. Porovnání je provedeno na základě subjektivního vyhodnocení shodných parametrů </w:t>
      </w:r>
      <w:r>
        <w:rPr>
          <w:rFonts w:ascii="Times New Roman" w:hAnsi="Times New Roman" w:cs="Times New Roman"/>
          <w:color w:val="000000"/>
          <w:kern w:val="0"/>
        </w:rPr>
        <w:lastRenderedPageBreak/>
        <w:t>porovnávaných nemovitých věcí, které se o jednotlivého typu nemovité věci mohou lišit. Tyto parametry nazýváme koeficienty podobnosti. V každém z koeficientů se hodnotí kladné i záporné stránky, které jsou poté vyjádřeny číselně.</w:t>
      </w:r>
    </w:p>
    <w:p w14:paraId="5B8C09AD"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b/>
          <w:bCs/>
          <w:color w:val="000000"/>
          <w:kern w:val="0"/>
        </w:rPr>
      </w:pPr>
    </w:p>
    <w:p w14:paraId="265C0CE3"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V případě, že oceňovaná nemovitá věc je zasažena riziky majícím vliv na obvyklou cenu (přístup, </w:t>
      </w:r>
      <w:proofErr w:type="gramStart"/>
      <w:r>
        <w:rPr>
          <w:rFonts w:ascii="Times New Roman" w:hAnsi="Times New Roman" w:cs="Times New Roman"/>
          <w:color w:val="000000"/>
          <w:kern w:val="0"/>
        </w:rPr>
        <w:t>povodeň,</w:t>
      </w:r>
      <w:proofErr w:type="gramEnd"/>
      <w:r>
        <w:rPr>
          <w:rFonts w:ascii="Times New Roman" w:hAnsi="Times New Roman" w:cs="Times New Roman"/>
          <w:color w:val="000000"/>
          <w:kern w:val="0"/>
        </w:rPr>
        <w:t xml:space="preserve"> atd.), lze výše uvedenou výslednou obvyklou cenu upravit srážkou v příslušené velikosti.</w:t>
      </w:r>
    </w:p>
    <w:p w14:paraId="34672E8B"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p>
    <w:p w14:paraId="30905A2B"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Průměrná jednotková cena oceňované nemovité věci (JTC</w:t>
      </w:r>
      <w:r>
        <w:rPr>
          <w:rFonts w:ascii="Times New Roman" w:hAnsi="Times New Roman" w:cs="Times New Roman"/>
          <w:color w:val="000000"/>
          <w:kern w:val="0"/>
          <w:vertAlign w:val="subscript"/>
        </w:rPr>
        <w:t>0</w:t>
      </w:r>
      <w:r>
        <w:rPr>
          <w:rFonts w:ascii="Times New Roman" w:hAnsi="Times New Roman" w:cs="Times New Roman"/>
          <w:color w:val="000000"/>
          <w:kern w:val="0"/>
        </w:rPr>
        <w:t>) je vypočtena aritmetickým průměrem z jednotlivých upravených jednotkových cen srovnávacích nemovitých věcí (IJTC</w:t>
      </w:r>
      <w:r>
        <w:rPr>
          <w:rFonts w:ascii="Times New Roman" w:hAnsi="Times New Roman" w:cs="Times New Roman"/>
          <w:color w:val="000000"/>
          <w:kern w:val="0"/>
          <w:vertAlign w:val="subscript"/>
        </w:rPr>
        <w:t>s</w:t>
      </w:r>
      <w:r>
        <w:rPr>
          <w:rFonts w:ascii="Times New Roman" w:hAnsi="Times New Roman" w:cs="Times New Roman"/>
          <w:color w:val="000000"/>
          <w:kern w:val="0"/>
        </w:rPr>
        <w:t>). Jednotlivé upravené jednotkové ceny (IJTC</w:t>
      </w:r>
      <w:r>
        <w:rPr>
          <w:rFonts w:ascii="Times New Roman" w:hAnsi="Times New Roman" w:cs="Times New Roman"/>
          <w:color w:val="000000"/>
          <w:kern w:val="0"/>
          <w:vertAlign w:val="subscript"/>
        </w:rPr>
        <w:t>s</w:t>
      </w:r>
      <w:r>
        <w:rPr>
          <w:rFonts w:ascii="Times New Roman" w:hAnsi="Times New Roman" w:cs="Times New Roman"/>
          <w:color w:val="000000"/>
          <w:kern w:val="0"/>
        </w:rPr>
        <w:t>) jsou vypočteny jako násobek jednotkové ceny a celkového koeficientu K</w:t>
      </w:r>
      <w:r>
        <w:rPr>
          <w:rFonts w:ascii="Times New Roman" w:hAnsi="Times New Roman" w:cs="Times New Roman"/>
          <w:color w:val="000000"/>
          <w:kern w:val="0"/>
          <w:vertAlign w:val="subscript"/>
        </w:rPr>
        <w:t>c</w:t>
      </w:r>
      <w:r>
        <w:rPr>
          <w:rFonts w:ascii="Times New Roman" w:hAnsi="Times New Roman" w:cs="Times New Roman"/>
          <w:color w:val="000000"/>
          <w:kern w:val="0"/>
        </w:rPr>
        <w:t>. Koeficient K</w:t>
      </w:r>
      <w:r>
        <w:rPr>
          <w:rFonts w:ascii="Times New Roman" w:hAnsi="Times New Roman" w:cs="Times New Roman"/>
          <w:color w:val="000000"/>
          <w:kern w:val="0"/>
          <w:vertAlign w:val="subscript"/>
        </w:rPr>
        <w:t>c</w:t>
      </w:r>
      <w:r>
        <w:rPr>
          <w:rFonts w:ascii="Times New Roman" w:hAnsi="Times New Roman" w:cs="Times New Roman"/>
          <w:color w:val="000000"/>
          <w:kern w:val="0"/>
        </w:rPr>
        <w:t xml:space="preserve"> je vypočten jako násobek jednotlivých koeficientů K1 až K</w:t>
      </w:r>
      <w:r>
        <w:rPr>
          <w:rFonts w:ascii="Times New Roman" w:hAnsi="Times New Roman" w:cs="Times New Roman"/>
          <w:color w:val="000000"/>
          <w:kern w:val="0"/>
          <w:vertAlign w:val="subscript"/>
        </w:rPr>
        <w:t>n</w:t>
      </w:r>
      <w:r>
        <w:rPr>
          <w:rFonts w:ascii="Times New Roman" w:hAnsi="Times New Roman" w:cs="Times New Roman"/>
          <w:color w:val="000000"/>
          <w:kern w:val="0"/>
        </w:rPr>
        <w:t>. V koeficientech jsou zahrnuty odlišnosti oceňované nemovité věci vzhledem k nemovitým věcem, které byly použity pro porovnání.</w:t>
      </w:r>
    </w:p>
    <w:p w14:paraId="2CDFF871" w14:textId="77777777" w:rsidR="000F35C3" w:rsidRDefault="000F35C3" w:rsidP="000F35C3">
      <w:pPr>
        <w:widowControl w:val="0"/>
        <w:autoSpaceDE w:val="0"/>
        <w:autoSpaceDN w:val="0"/>
        <w:adjustRightInd w:val="0"/>
        <w:spacing w:after="0" w:line="240" w:lineRule="auto"/>
        <w:jc w:val="both"/>
        <w:rPr>
          <w:rFonts w:ascii="Times New Roman" w:hAnsi="Times New Roman" w:cs="Times New Roman"/>
          <w:color w:val="000000"/>
          <w:kern w:val="0"/>
        </w:rPr>
      </w:pPr>
    </w:p>
    <w:p w14:paraId="274AD235" w14:textId="77777777" w:rsidR="000F35C3" w:rsidRDefault="000F35C3" w:rsidP="000F35C3">
      <w:pPr>
        <w:widowControl w:val="0"/>
        <w:autoSpaceDE w:val="0"/>
        <w:autoSpaceDN w:val="0"/>
        <w:adjustRightInd w:val="0"/>
        <w:spacing w:after="200" w:line="276" w:lineRule="atLeast"/>
        <w:jc w:val="both"/>
        <w:rPr>
          <w:rFonts w:ascii="Times New Roman" w:hAnsi="Times New Roman" w:cs="Times New Roman"/>
          <w:color w:val="000000"/>
          <w:kern w:val="0"/>
        </w:rPr>
      </w:pPr>
      <w:r>
        <w:rPr>
          <w:rFonts w:ascii="Times New Roman" w:hAnsi="Times New Roman" w:cs="Times New Roman"/>
          <w:color w:val="000000"/>
          <w:kern w:val="0"/>
        </w:rPr>
        <w:t>Obvyklá cena oceňované nemovité věci byla vypočtena přímým porovnáním jako aritmetický průměr jednotkových upravených cen srovnávacích nemovitých věcí.</w:t>
      </w:r>
    </w:p>
    <w:p w14:paraId="3DE792A1" w14:textId="7C6EF5D8" w:rsidR="000F35C3" w:rsidRDefault="000F35C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4.3. Výsledky analýzy dat</w:t>
      </w:r>
    </w:p>
    <w:tbl>
      <w:tblPr>
        <w:tblW w:w="0" w:type="auto"/>
        <w:tblLayout w:type="fixed"/>
        <w:tblCellMar>
          <w:left w:w="0" w:type="dxa"/>
          <w:right w:w="0" w:type="dxa"/>
        </w:tblCellMar>
        <w:tblLook w:val="0000" w:firstRow="0" w:lastRow="0" w:firstColumn="0" w:lastColumn="0" w:noHBand="0" w:noVBand="0"/>
      </w:tblPr>
      <w:tblGrid>
        <w:gridCol w:w="7332"/>
        <w:gridCol w:w="2117"/>
        <w:gridCol w:w="189"/>
      </w:tblGrid>
      <w:tr w:rsidR="00CF0924" w14:paraId="6AFECBE8" w14:textId="77777777">
        <w:tc>
          <w:tcPr>
            <w:tcW w:w="9449" w:type="dxa"/>
            <w:gridSpan w:val="2"/>
            <w:tcBorders>
              <w:top w:val="nil"/>
              <w:left w:val="nil"/>
              <w:bottom w:val="nil"/>
              <w:right w:val="nil"/>
            </w:tcBorders>
          </w:tcPr>
          <w:p w14:paraId="77F0F1D1" w14:textId="77777777" w:rsidR="000F35C3" w:rsidRDefault="000F35C3">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1. Porovnávací hodnota</w:t>
            </w:r>
          </w:p>
        </w:tc>
        <w:tc>
          <w:tcPr>
            <w:tcW w:w="189" w:type="dxa"/>
            <w:tcBorders>
              <w:top w:val="nil"/>
              <w:left w:val="nil"/>
              <w:bottom w:val="nil"/>
              <w:right w:val="nil"/>
            </w:tcBorders>
          </w:tcPr>
          <w:p w14:paraId="7179DC21" w14:textId="77777777" w:rsidR="000F35C3" w:rsidRDefault="000F35C3">
            <w:pPr>
              <w:widowControl w:val="0"/>
              <w:autoSpaceDE w:val="0"/>
              <w:autoSpaceDN w:val="0"/>
              <w:adjustRightInd w:val="0"/>
              <w:spacing w:after="0" w:line="240" w:lineRule="auto"/>
              <w:jc w:val="both"/>
              <w:rPr>
                <w:rFonts w:ascii="Times New Roman" w:hAnsi="Times New Roman" w:cs="Times New Roman"/>
                <w:b/>
                <w:bCs/>
                <w:vanish/>
                <w:color w:val="000000"/>
                <w:kern w:val="0"/>
              </w:rPr>
            </w:pPr>
          </w:p>
        </w:tc>
      </w:tr>
      <w:tr w:rsidR="00CF0924" w14:paraId="42ADB2D8" w14:textId="77777777">
        <w:tc>
          <w:tcPr>
            <w:tcW w:w="7332" w:type="dxa"/>
            <w:tcBorders>
              <w:top w:val="nil"/>
              <w:left w:val="nil"/>
              <w:bottom w:val="nil"/>
              <w:right w:val="nil"/>
            </w:tcBorders>
          </w:tcPr>
          <w:p w14:paraId="4BE16F1A" w14:textId="77777777" w:rsidR="000F35C3" w:rsidRDefault="000F35C3">
            <w:pPr>
              <w:widowControl w:val="0"/>
              <w:tabs>
                <w:tab w:val="left" w:pos="4230"/>
              </w:tabs>
              <w:autoSpaceDE w:val="0"/>
              <w:autoSpaceDN w:val="0"/>
              <w:adjustRightInd w:val="0"/>
              <w:spacing w:after="0" w:line="240" w:lineRule="auto"/>
              <w:ind w:left="270"/>
              <w:jc w:val="both"/>
              <w:rPr>
                <w:rFonts w:ascii="Times New Roman" w:hAnsi="Times New Roman" w:cs="Times New Roman"/>
                <w:color w:val="000000"/>
                <w:kern w:val="0"/>
              </w:rPr>
            </w:pPr>
            <w:r>
              <w:rPr>
                <w:rFonts w:ascii="Times New Roman" w:hAnsi="Times New Roman" w:cs="Times New Roman"/>
                <w:color w:val="000000"/>
                <w:kern w:val="0"/>
              </w:rPr>
              <w:t>1.1. Jednotka č. 444/11 Kynšperk nad Ohří</w:t>
            </w:r>
          </w:p>
        </w:tc>
        <w:tc>
          <w:tcPr>
            <w:tcW w:w="2306" w:type="dxa"/>
            <w:gridSpan w:val="2"/>
            <w:tcBorders>
              <w:top w:val="nil"/>
              <w:left w:val="nil"/>
              <w:bottom w:val="nil"/>
              <w:right w:val="nil"/>
            </w:tcBorders>
          </w:tcPr>
          <w:p w14:paraId="227020F9" w14:textId="77777777" w:rsidR="000F35C3" w:rsidRDefault="000F35C3">
            <w:pPr>
              <w:widowControl w:val="0"/>
              <w:tabs>
                <w:tab w:val="decimal" w:pos="1350"/>
                <w:tab w:val="left" w:pos="1980"/>
                <w:tab w:val="left" w:pos="423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b/>
                <w:bCs/>
                <w:color w:val="000000"/>
                <w:kern w:val="0"/>
              </w:rPr>
              <w:tab/>
            </w:r>
            <w:r>
              <w:rPr>
                <w:rFonts w:ascii="Times New Roman" w:hAnsi="Times New Roman" w:cs="Times New Roman"/>
                <w:color w:val="000000"/>
                <w:kern w:val="0"/>
              </w:rPr>
              <w:t>1 690 098,- Kč</w:t>
            </w:r>
          </w:p>
        </w:tc>
      </w:tr>
    </w:tbl>
    <w:p w14:paraId="1CB2DFC3" w14:textId="77777777" w:rsidR="000F35C3" w:rsidRDefault="000F35C3">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Layout w:type="fixed"/>
        <w:tblCellMar>
          <w:left w:w="0" w:type="dxa"/>
          <w:right w:w="0" w:type="dxa"/>
        </w:tblCellMar>
        <w:tblLook w:val="0000" w:firstRow="0" w:lastRow="0" w:firstColumn="0" w:lastColumn="0" w:noHBand="0" w:noVBand="0"/>
      </w:tblPr>
      <w:tblGrid>
        <w:gridCol w:w="3779"/>
        <w:gridCol w:w="2986"/>
        <w:gridCol w:w="2873"/>
      </w:tblGrid>
      <w:tr w:rsidR="00CF0924" w14:paraId="7173B83F" w14:textId="77777777">
        <w:tc>
          <w:tcPr>
            <w:tcW w:w="3779" w:type="dxa"/>
            <w:tcBorders>
              <w:top w:val="nil"/>
              <w:left w:val="nil"/>
              <w:bottom w:val="single" w:sz="8" w:space="0" w:color="auto"/>
              <w:right w:val="nil"/>
            </w:tcBorders>
          </w:tcPr>
          <w:p w14:paraId="153F06C5" w14:textId="77777777" w:rsidR="000F35C3" w:rsidRDefault="000F35C3">
            <w:pPr>
              <w:widowControl w:val="0"/>
              <w:autoSpaceDE w:val="0"/>
              <w:autoSpaceDN w:val="0"/>
              <w:adjustRightInd w:val="0"/>
              <w:spacing w:after="0" w:line="240" w:lineRule="auto"/>
              <w:ind w:left="113"/>
              <w:rPr>
                <w:rFonts w:ascii="Times New Roman" w:hAnsi="Times New Roman" w:cs="Times New Roman"/>
                <w:color w:val="000000"/>
                <w:kern w:val="0"/>
                <w:sz w:val="16"/>
                <w:szCs w:val="16"/>
              </w:rPr>
            </w:pPr>
          </w:p>
        </w:tc>
        <w:tc>
          <w:tcPr>
            <w:tcW w:w="5859" w:type="dxa"/>
            <w:gridSpan w:val="2"/>
            <w:tcBorders>
              <w:top w:val="nil"/>
              <w:left w:val="nil"/>
              <w:bottom w:val="single" w:sz="8" w:space="0" w:color="auto"/>
              <w:right w:val="nil"/>
            </w:tcBorders>
          </w:tcPr>
          <w:p w14:paraId="2DF37F9F" w14:textId="77777777" w:rsidR="000F35C3" w:rsidRDefault="000F35C3">
            <w:pPr>
              <w:widowControl w:val="0"/>
              <w:autoSpaceDE w:val="0"/>
              <w:autoSpaceDN w:val="0"/>
              <w:adjustRightInd w:val="0"/>
              <w:spacing w:after="0" w:line="240" w:lineRule="auto"/>
              <w:ind w:right="2190"/>
              <w:jc w:val="right"/>
              <w:rPr>
                <w:rFonts w:ascii="Times New Roman" w:hAnsi="Times New Roman" w:cs="Times New Roman"/>
                <w:color w:val="000000"/>
                <w:kern w:val="0"/>
                <w:sz w:val="16"/>
                <w:szCs w:val="16"/>
              </w:rPr>
            </w:pPr>
          </w:p>
        </w:tc>
      </w:tr>
      <w:tr w:rsidR="00CF0924" w14:paraId="7F77ACA7" w14:textId="77777777">
        <w:tc>
          <w:tcPr>
            <w:tcW w:w="3779" w:type="dxa"/>
            <w:tcBorders>
              <w:top w:val="nil"/>
              <w:left w:val="single" w:sz="8" w:space="0" w:color="auto"/>
              <w:bottom w:val="nil"/>
              <w:right w:val="nil"/>
            </w:tcBorders>
          </w:tcPr>
          <w:p w14:paraId="7F703FA5" w14:textId="77777777" w:rsidR="000F35C3" w:rsidRDefault="000F35C3">
            <w:pPr>
              <w:widowControl w:val="0"/>
              <w:autoSpaceDE w:val="0"/>
              <w:autoSpaceDN w:val="0"/>
              <w:adjustRightInd w:val="0"/>
              <w:spacing w:after="0" w:line="240" w:lineRule="auto"/>
              <w:ind w:left="113"/>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Porovnávací hodnota</w:t>
            </w:r>
          </w:p>
        </w:tc>
        <w:tc>
          <w:tcPr>
            <w:tcW w:w="5859" w:type="dxa"/>
            <w:gridSpan w:val="2"/>
            <w:tcBorders>
              <w:top w:val="nil"/>
              <w:left w:val="nil"/>
              <w:bottom w:val="nil"/>
              <w:right w:val="single" w:sz="8" w:space="0" w:color="auto"/>
            </w:tcBorders>
          </w:tcPr>
          <w:p w14:paraId="10469967" w14:textId="77777777" w:rsidR="000F35C3" w:rsidRDefault="000F35C3">
            <w:pPr>
              <w:widowControl w:val="0"/>
              <w:autoSpaceDE w:val="0"/>
              <w:autoSpaceDN w:val="0"/>
              <w:adjustRightInd w:val="0"/>
              <w:spacing w:after="0" w:line="240" w:lineRule="auto"/>
              <w:ind w:right="2190"/>
              <w:jc w:val="right"/>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1 690 098 Kč</w:t>
            </w:r>
          </w:p>
        </w:tc>
      </w:tr>
      <w:tr w:rsidR="00CF0924" w14:paraId="60F0624E" w14:textId="77777777">
        <w:trPr>
          <w:hidden/>
        </w:trPr>
        <w:tc>
          <w:tcPr>
            <w:tcW w:w="3779" w:type="dxa"/>
            <w:tcBorders>
              <w:top w:val="single" w:sz="8" w:space="0" w:color="auto"/>
              <w:left w:val="nil"/>
              <w:bottom w:val="nil"/>
              <w:right w:val="nil"/>
            </w:tcBorders>
          </w:tcPr>
          <w:p w14:paraId="2D277143" w14:textId="77777777" w:rsidR="000F35C3" w:rsidRDefault="000F35C3">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left="113"/>
              <w:rPr>
                <w:rFonts w:ascii="Times New Roman" w:hAnsi="Times New Roman" w:cs="Times New Roman"/>
                <w:vanish/>
                <w:color w:val="000000"/>
                <w:kern w:val="0"/>
              </w:rPr>
            </w:pPr>
          </w:p>
        </w:tc>
        <w:tc>
          <w:tcPr>
            <w:tcW w:w="2986" w:type="dxa"/>
            <w:tcBorders>
              <w:top w:val="single" w:sz="8" w:space="0" w:color="auto"/>
              <w:left w:val="nil"/>
              <w:bottom w:val="nil"/>
              <w:right w:val="nil"/>
            </w:tcBorders>
          </w:tcPr>
          <w:p w14:paraId="5D30F513" w14:textId="77777777" w:rsidR="000F35C3" w:rsidRDefault="000F35C3">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right="555"/>
              <w:jc w:val="right"/>
              <w:rPr>
                <w:rFonts w:ascii="Times New Roman" w:hAnsi="Times New Roman" w:cs="Times New Roman"/>
                <w:color w:val="000000"/>
                <w:kern w:val="0"/>
              </w:rPr>
            </w:pPr>
          </w:p>
        </w:tc>
        <w:tc>
          <w:tcPr>
            <w:tcW w:w="2873" w:type="dxa"/>
            <w:tcBorders>
              <w:top w:val="single" w:sz="8" w:space="0" w:color="auto"/>
              <w:left w:val="nil"/>
              <w:bottom w:val="nil"/>
              <w:right w:val="nil"/>
            </w:tcBorders>
          </w:tcPr>
          <w:p w14:paraId="3A36BCA9" w14:textId="77777777" w:rsidR="000F35C3" w:rsidRDefault="000F35C3">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right="525"/>
              <w:jc w:val="right"/>
              <w:rPr>
                <w:rFonts w:ascii="Times New Roman" w:hAnsi="Times New Roman" w:cs="Times New Roman"/>
                <w:color w:val="000000"/>
                <w:kern w:val="0"/>
              </w:rPr>
            </w:pPr>
          </w:p>
        </w:tc>
      </w:tr>
    </w:tbl>
    <w:p w14:paraId="00F82C0C" w14:textId="77777777" w:rsidR="000F35C3" w:rsidRDefault="000F35C3">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4989"/>
        <w:gridCol w:w="4573"/>
        <w:gridCol w:w="76"/>
      </w:tblGrid>
      <w:tr w:rsidR="00CF0924" w14:paraId="7EAD093B" w14:textId="77777777">
        <w:tc>
          <w:tcPr>
            <w:tcW w:w="4989" w:type="dxa"/>
            <w:tcBorders>
              <w:top w:val="single" w:sz="6" w:space="0" w:color="auto"/>
              <w:left w:val="single" w:sz="8" w:space="0" w:color="auto"/>
              <w:bottom w:val="nil"/>
              <w:right w:val="nil"/>
            </w:tcBorders>
          </w:tcPr>
          <w:p w14:paraId="4BBE7671" w14:textId="77777777" w:rsidR="000F35C3" w:rsidRDefault="000F35C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Obvyklá cena</w:t>
            </w:r>
          </w:p>
        </w:tc>
        <w:tc>
          <w:tcPr>
            <w:tcW w:w="4649" w:type="dxa"/>
            <w:gridSpan w:val="2"/>
            <w:tcBorders>
              <w:top w:val="single" w:sz="6" w:space="0" w:color="auto"/>
              <w:left w:val="nil"/>
              <w:bottom w:val="nil"/>
              <w:right w:val="single" w:sz="8" w:space="0" w:color="auto"/>
            </w:tcBorders>
          </w:tcPr>
          <w:p w14:paraId="64D29BBA" w14:textId="77777777" w:rsidR="000F35C3" w:rsidRDefault="000F35C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13" w:right="1050"/>
              <w:jc w:val="right"/>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1 692 000 Kč</w:t>
            </w:r>
          </w:p>
        </w:tc>
      </w:tr>
      <w:tr w:rsidR="00CF0924" w14:paraId="7CF5BFC0" w14:textId="77777777">
        <w:tc>
          <w:tcPr>
            <w:tcW w:w="9562" w:type="dxa"/>
            <w:gridSpan w:val="2"/>
            <w:tcBorders>
              <w:top w:val="nil"/>
              <w:left w:val="single" w:sz="8" w:space="0" w:color="auto"/>
              <w:bottom w:val="single" w:sz="6" w:space="0" w:color="auto"/>
              <w:right w:val="nil"/>
            </w:tcBorders>
          </w:tcPr>
          <w:p w14:paraId="4F481465" w14:textId="77777777" w:rsidR="000F35C3" w:rsidRDefault="000F35C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360" w:lineRule="atLeast"/>
              <w:ind w:left="113"/>
              <w:jc w:val="center"/>
              <w:rPr>
                <w:rFonts w:ascii="Times New Roman" w:hAnsi="Times New Roman" w:cs="Times New Roman"/>
                <w:color w:val="000000"/>
                <w:kern w:val="0"/>
              </w:rPr>
            </w:pPr>
            <w:r>
              <w:rPr>
                <w:rFonts w:ascii="Times New Roman" w:hAnsi="Times New Roman" w:cs="Times New Roman"/>
                <w:color w:val="000000"/>
                <w:kern w:val="0"/>
              </w:rPr>
              <w:t>slovy: Jeden milion šest set devadesát dva tisíc Kč</w:t>
            </w:r>
          </w:p>
        </w:tc>
        <w:tc>
          <w:tcPr>
            <w:tcW w:w="76" w:type="dxa"/>
            <w:tcBorders>
              <w:top w:val="nil"/>
              <w:left w:val="nil"/>
              <w:bottom w:val="single" w:sz="6" w:space="0" w:color="auto"/>
              <w:right w:val="single" w:sz="8" w:space="0" w:color="auto"/>
            </w:tcBorders>
          </w:tcPr>
          <w:p w14:paraId="1B433931" w14:textId="77777777" w:rsidR="000F35C3" w:rsidRDefault="000F35C3">
            <w:pPr>
              <w:widowControl w:val="0"/>
              <w:tabs>
                <w:tab w:val="left" w:pos="4230"/>
              </w:tabs>
              <w:autoSpaceDE w:val="0"/>
              <w:autoSpaceDN w:val="0"/>
              <w:adjustRightInd w:val="0"/>
              <w:spacing w:before="57" w:after="0" w:line="360" w:lineRule="atLeast"/>
              <w:rPr>
                <w:rFonts w:ascii="Times New Roman" w:hAnsi="Times New Roman" w:cs="Times New Roman"/>
                <w:color w:val="000000"/>
                <w:kern w:val="0"/>
              </w:rPr>
            </w:pPr>
          </w:p>
        </w:tc>
      </w:tr>
    </w:tbl>
    <w:p w14:paraId="7ACA165E" w14:textId="77777777" w:rsidR="000F35C3" w:rsidRDefault="000F35C3">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3170"/>
        <w:gridCol w:w="6455"/>
      </w:tblGrid>
      <w:tr w:rsidR="00CF0924" w14:paraId="19963FD8" w14:textId="77777777">
        <w:tc>
          <w:tcPr>
            <w:tcW w:w="3170" w:type="dxa"/>
            <w:tcBorders>
              <w:top w:val="nil"/>
              <w:left w:val="nil"/>
              <w:bottom w:val="nil"/>
              <w:right w:val="nil"/>
            </w:tcBorders>
          </w:tcPr>
          <w:p w14:paraId="35C90A76" w14:textId="77777777" w:rsidR="000F35C3" w:rsidRDefault="000F35C3">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Silné stránky</w:t>
            </w:r>
          </w:p>
        </w:tc>
        <w:tc>
          <w:tcPr>
            <w:tcW w:w="6455" w:type="dxa"/>
            <w:tcBorders>
              <w:top w:val="nil"/>
              <w:left w:val="nil"/>
              <w:bottom w:val="nil"/>
              <w:right w:val="nil"/>
            </w:tcBorders>
          </w:tcPr>
          <w:p w14:paraId="7CA32382" w14:textId="77777777" w:rsidR="000F35C3" w:rsidRDefault="000F35C3">
            <w:pPr>
              <w:widowControl w:val="0"/>
              <w:autoSpaceDE w:val="0"/>
              <w:autoSpaceDN w:val="0"/>
              <w:adjustRightInd w:val="0"/>
              <w:spacing w:after="0" w:line="240" w:lineRule="auto"/>
              <w:rPr>
                <w:rFonts w:ascii="Calibri" w:hAnsi="Calibri" w:cs="Calibri"/>
                <w:color w:val="000000"/>
                <w:kern w:val="0"/>
                <w:sz w:val="28"/>
                <w:szCs w:val="28"/>
              </w:rPr>
            </w:pPr>
          </w:p>
        </w:tc>
      </w:tr>
    </w:tbl>
    <w:p w14:paraId="341C00A2" w14:textId="77777777" w:rsidR="000F35C3" w:rsidRDefault="000F35C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sklepní kóje,</w:t>
      </w:r>
    </w:p>
    <w:p w14:paraId="3151256A" w14:textId="77777777" w:rsidR="000F35C3" w:rsidRDefault="000F35C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klidná lokalita,</w:t>
      </w:r>
    </w:p>
    <w:p w14:paraId="11150FD4" w14:textId="77777777" w:rsidR="000F35C3" w:rsidRDefault="000F35C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dopravní dostupnost a OV.</w:t>
      </w:r>
    </w:p>
    <w:p w14:paraId="700CF3F5" w14:textId="77777777" w:rsidR="000F35C3" w:rsidRDefault="000F35C3">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9449"/>
        <w:gridCol w:w="189"/>
      </w:tblGrid>
      <w:tr w:rsidR="00CF0924" w14:paraId="13F48BD9" w14:textId="77777777">
        <w:tc>
          <w:tcPr>
            <w:tcW w:w="9449" w:type="dxa"/>
            <w:tcBorders>
              <w:top w:val="nil"/>
              <w:left w:val="nil"/>
              <w:bottom w:val="single" w:sz="8" w:space="0" w:color="auto"/>
              <w:right w:val="nil"/>
            </w:tcBorders>
          </w:tcPr>
          <w:p w14:paraId="3BF7E3D5" w14:textId="77777777" w:rsidR="000F35C3" w:rsidRDefault="000F35C3">
            <w:pPr>
              <w:widowControl w:val="0"/>
              <w:tabs>
                <w:tab w:val="left" w:pos="423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Komentář ke stanovení výsledné ceny</w:t>
            </w:r>
          </w:p>
        </w:tc>
        <w:tc>
          <w:tcPr>
            <w:tcW w:w="189" w:type="dxa"/>
            <w:tcBorders>
              <w:top w:val="nil"/>
              <w:left w:val="nil"/>
              <w:bottom w:val="single" w:sz="8" w:space="0" w:color="auto"/>
              <w:right w:val="nil"/>
            </w:tcBorders>
          </w:tcPr>
          <w:p w14:paraId="2FEC3686" w14:textId="77777777" w:rsidR="000F35C3" w:rsidRDefault="000F35C3">
            <w:pPr>
              <w:widowControl w:val="0"/>
              <w:autoSpaceDE w:val="0"/>
              <w:autoSpaceDN w:val="0"/>
              <w:adjustRightInd w:val="0"/>
              <w:spacing w:after="0" w:line="240" w:lineRule="auto"/>
              <w:rPr>
                <w:rFonts w:ascii="Calibri" w:hAnsi="Calibri" w:cs="Calibri"/>
                <w:b/>
                <w:bCs/>
                <w:color w:val="000000"/>
                <w:kern w:val="0"/>
                <w:sz w:val="28"/>
                <w:szCs w:val="28"/>
              </w:rPr>
            </w:pPr>
          </w:p>
        </w:tc>
      </w:tr>
    </w:tbl>
    <w:p w14:paraId="27A5BD27"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Při zjištění ceny obvyklé klademe důraz na srovnání nemovitých věcí ze sjednaných cen (realizovaných prodejů) v daném místě a čase se skutečnostmi zjištěnými při místním šetření. Při stanovení porovnávací hodnoty jsme vycházeli z údajů uvedených v katastru nemovitostí a aplikací třetích stran (Valuo.cz). V databázi jsme našli srovnatelné porovnávací nemovité věcí, z nichž jsme vybrali ty, které nejvíce odpovídaly oceňované nemovité věci zejména co do lokality, velikosti, stáří a celkového stavu; tyto porovnávací nemovité věci byly následně použity pro výpočet obvyklé ceny. Určení obvyklé ceny nemá za cíl zjištění obecné či jinak stanovené ceny nemovité věci. Námi stanovená obvyklá cena slouží jako podklad pro stanovení nejnižšího podání pro dražbu. To, jakou má nemovitá věc skutečně hodnotu, za níž může být v daném místě a čase prodána, se ukáže teprve v dražbě.</w:t>
      </w:r>
    </w:p>
    <w:p w14:paraId="1C565949"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37AC1060"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souladu s výše uvedeným byl proveden výpočet porovnávací hodnoty, který je uveden v odstavci 4.2.</w:t>
      </w:r>
    </w:p>
    <w:p w14:paraId="5EFCF7F5" w14:textId="77777777" w:rsidR="000F35C3" w:rsidRDefault="000F35C3">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p w14:paraId="29C15DFA" w14:textId="77777777" w:rsidR="000F35C3" w:rsidRDefault="000F35C3">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sz w:val="16"/>
          <w:szCs w:val="16"/>
        </w:rPr>
        <w:br w:type="page"/>
      </w:r>
    </w:p>
    <w:p w14:paraId="7A3F0FD7" w14:textId="77777777" w:rsidR="000F35C3" w:rsidRDefault="000F35C3">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CF0924" w14:paraId="67B59935" w14:textId="77777777">
        <w:tc>
          <w:tcPr>
            <w:tcW w:w="9486" w:type="dxa"/>
            <w:tcBorders>
              <w:top w:val="single" w:sz="6" w:space="0" w:color="auto"/>
              <w:left w:val="single" w:sz="8" w:space="0" w:color="auto"/>
              <w:bottom w:val="single" w:sz="6" w:space="0" w:color="auto"/>
              <w:right w:val="nil"/>
            </w:tcBorders>
            <w:shd w:val="pct30" w:color="0080FF" w:fill="FFFFFF"/>
          </w:tcPr>
          <w:p w14:paraId="604FAB02" w14:textId="77777777" w:rsidR="000F35C3" w:rsidRDefault="000F35C3">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5. ODŮVODNĚNÍ</w:t>
            </w:r>
          </w:p>
        </w:tc>
        <w:tc>
          <w:tcPr>
            <w:tcW w:w="152" w:type="dxa"/>
            <w:tcBorders>
              <w:top w:val="single" w:sz="6" w:space="0" w:color="auto"/>
              <w:left w:val="nil"/>
              <w:bottom w:val="single" w:sz="6" w:space="0" w:color="auto"/>
              <w:right w:val="single" w:sz="8" w:space="0" w:color="auto"/>
            </w:tcBorders>
            <w:shd w:val="pct30" w:color="0080FF" w:fill="FFFFFF"/>
          </w:tcPr>
          <w:p w14:paraId="6B6047F6" w14:textId="77777777" w:rsidR="000F35C3" w:rsidRDefault="000F35C3">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3CC37560" w14:textId="77777777" w:rsidR="000F35C3" w:rsidRDefault="000F35C3">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317AA5AA" w14:textId="77777777" w:rsidR="000F35C3" w:rsidRDefault="000F35C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5.1. Interpretace výsledků analýzy</w:t>
      </w:r>
    </w:p>
    <w:p w14:paraId="493230AA" w14:textId="77777777" w:rsidR="000F35C3" w:rsidRDefault="000F35C3">
      <w:pPr>
        <w:widowControl w:val="0"/>
        <w:autoSpaceDE w:val="0"/>
        <w:autoSpaceDN w:val="0"/>
        <w:adjustRightInd w:val="0"/>
        <w:spacing w:before="100" w:after="10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výsledků analýzy, které jsou objektivním výstupem aplikace zvolené metody v kombinaci se shromážděnými a zpracovanými daty, zpravidla není možné ještě zodpovědět znaleckou otázku v závislosti na charakteru a specifik oceňované nemovité věci. Znalec interpretuje výsledky analýzy dat. V této interpretaci pak již znalec promítá své vlastní zkušenosti a vnáší do znaleckého posudku subjektivní prvek s odkazem, jak je např. popsáno v Advokátním bulletinu 11/2020.</w:t>
      </w:r>
    </w:p>
    <w:p w14:paraId="2581D5A8" w14:textId="77777777" w:rsidR="000F35C3" w:rsidRDefault="000F35C3">
      <w:pPr>
        <w:widowControl w:val="0"/>
        <w:autoSpaceDE w:val="0"/>
        <w:autoSpaceDN w:val="0"/>
        <w:adjustRightInd w:val="0"/>
        <w:spacing w:before="100" w:after="10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provedeného porovnání s odkazem na soubor dat obsažený výše v odstavci porovnávací metoda s ohledem na vyhodnocení slabých a silných stránek, viz odst. 4.3. oceňované nemovité věci, a také s ohledem na případná rizika stanovujeme obvyklou cenu nemovité věci v níže uvedené objektivní zaokrouhlené výši.</w:t>
      </w:r>
    </w:p>
    <w:p w14:paraId="00EE5717" w14:textId="77777777" w:rsidR="000F35C3" w:rsidRDefault="000F35C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5.2. Kontrola postupu</w:t>
      </w:r>
    </w:p>
    <w:p w14:paraId="528FC4A7"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Byla provedena kontrola postupu podle § 52 písm. a) až e).</w:t>
      </w:r>
    </w:p>
    <w:p w14:paraId="70781674"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tbl>
      <w:tblPr>
        <w:tblW w:w="0" w:type="auto"/>
        <w:tblInd w:w="26" w:type="dxa"/>
        <w:tblLayout w:type="fixed"/>
        <w:tblCellMar>
          <w:left w:w="0" w:type="dxa"/>
          <w:right w:w="0" w:type="dxa"/>
        </w:tblCellMar>
        <w:tblLook w:val="0000" w:firstRow="0" w:lastRow="0" w:firstColumn="0" w:lastColumn="0" w:noHBand="0" w:noVBand="0"/>
      </w:tblPr>
      <w:tblGrid>
        <w:gridCol w:w="4829"/>
        <w:gridCol w:w="4793"/>
      </w:tblGrid>
      <w:tr w:rsidR="00CF0924" w14:paraId="1589808E" w14:textId="77777777">
        <w:tc>
          <w:tcPr>
            <w:tcW w:w="4829" w:type="dxa"/>
            <w:tcBorders>
              <w:top w:val="single" w:sz="6" w:space="0" w:color="auto"/>
              <w:left w:val="single" w:sz="8" w:space="0" w:color="auto"/>
              <w:bottom w:val="single" w:sz="6" w:space="0" w:color="auto"/>
              <w:right w:val="nil"/>
            </w:tcBorders>
          </w:tcPr>
          <w:p w14:paraId="4A025900"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a) vybere zdroj dat</w:t>
            </w:r>
          </w:p>
        </w:tc>
        <w:tc>
          <w:tcPr>
            <w:tcW w:w="4793" w:type="dxa"/>
            <w:tcBorders>
              <w:top w:val="single" w:sz="6" w:space="0" w:color="auto"/>
              <w:left w:val="single" w:sz="6" w:space="0" w:color="auto"/>
              <w:bottom w:val="single" w:sz="6" w:space="0" w:color="auto"/>
              <w:right w:val="single" w:sz="8" w:space="0" w:color="auto"/>
            </w:tcBorders>
          </w:tcPr>
          <w:p w14:paraId="571D2E63" w14:textId="77777777" w:rsidR="000F35C3" w:rsidRDefault="000F35C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CF0924" w14:paraId="439B0103" w14:textId="77777777">
        <w:tc>
          <w:tcPr>
            <w:tcW w:w="4829" w:type="dxa"/>
            <w:tcBorders>
              <w:top w:val="single" w:sz="6" w:space="0" w:color="auto"/>
              <w:left w:val="single" w:sz="8" w:space="0" w:color="auto"/>
              <w:bottom w:val="single" w:sz="6" w:space="0" w:color="auto"/>
              <w:right w:val="nil"/>
            </w:tcBorders>
          </w:tcPr>
          <w:p w14:paraId="57159356"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 sebere nebo vytvoří data</w:t>
            </w:r>
          </w:p>
        </w:tc>
        <w:tc>
          <w:tcPr>
            <w:tcW w:w="4793" w:type="dxa"/>
            <w:tcBorders>
              <w:top w:val="single" w:sz="6" w:space="0" w:color="auto"/>
              <w:left w:val="single" w:sz="6" w:space="0" w:color="auto"/>
              <w:bottom w:val="single" w:sz="6" w:space="0" w:color="auto"/>
              <w:right w:val="single" w:sz="8" w:space="0" w:color="auto"/>
            </w:tcBorders>
          </w:tcPr>
          <w:p w14:paraId="71C23C94" w14:textId="77777777" w:rsidR="000F35C3" w:rsidRDefault="000F35C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CF0924" w14:paraId="0731BA66" w14:textId="77777777">
        <w:tc>
          <w:tcPr>
            <w:tcW w:w="4829" w:type="dxa"/>
            <w:tcBorders>
              <w:top w:val="single" w:sz="6" w:space="0" w:color="auto"/>
              <w:left w:val="single" w:sz="8" w:space="0" w:color="auto"/>
              <w:bottom w:val="single" w:sz="6" w:space="0" w:color="auto"/>
              <w:right w:val="nil"/>
            </w:tcBorders>
          </w:tcPr>
          <w:p w14:paraId="2C82A4AF"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c) zpracuje data</w:t>
            </w:r>
          </w:p>
        </w:tc>
        <w:tc>
          <w:tcPr>
            <w:tcW w:w="4793" w:type="dxa"/>
            <w:tcBorders>
              <w:top w:val="single" w:sz="6" w:space="0" w:color="auto"/>
              <w:left w:val="single" w:sz="6" w:space="0" w:color="auto"/>
              <w:bottom w:val="single" w:sz="6" w:space="0" w:color="auto"/>
              <w:right w:val="single" w:sz="8" w:space="0" w:color="auto"/>
            </w:tcBorders>
          </w:tcPr>
          <w:p w14:paraId="2AF4AA30" w14:textId="77777777" w:rsidR="000F35C3" w:rsidRDefault="000F35C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CF0924" w14:paraId="28EBC2E4" w14:textId="77777777">
        <w:tc>
          <w:tcPr>
            <w:tcW w:w="4829" w:type="dxa"/>
            <w:tcBorders>
              <w:top w:val="single" w:sz="6" w:space="0" w:color="auto"/>
              <w:left w:val="single" w:sz="8" w:space="0" w:color="auto"/>
              <w:bottom w:val="single" w:sz="6" w:space="0" w:color="auto"/>
              <w:right w:val="nil"/>
            </w:tcBorders>
          </w:tcPr>
          <w:p w14:paraId="19C88F0F"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 provede analýzu dat a zformuluje její výsledky</w:t>
            </w:r>
          </w:p>
        </w:tc>
        <w:tc>
          <w:tcPr>
            <w:tcW w:w="4793" w:type="dxa"/>
            <w:tcBorders>
              <w:top w:val="single" w:sz="6" w:space="0" w:color="auto"/>
              <w:left w:val="single" w:sz="6" w:space="0" w:color="auto"/>
              <w:bottom w:val="single" w:sz="6" w:space="0" w:color="auto"/>
              <w:right w:val="single" w:sz="8" w:space="0" w:color="auto"/>
            </w:tcBorders>
          </w:tcPr>
          <w:p w14:paraId="3E24E82C" w14:textId="77777777" w:rsidR="000F35C3" w:rsidRDefault="000F35C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CF0924" w14:paraId="67EF9D67" w14:textId="77777777">
        <w:tc>
          <w:tcPr>
            <w:tcW w:w="4829" w:type="dxa"/>
            <w:tcBorders>
              <w:top w:val="single" w:sz="6" w:space="0" w:color="auto"/>
              <w:left w:val="single" w:sz="8" w:space="0" w:color="auto"/>
              <w:bottom w:val="single" w:sz="6" w:space="0" w:color="auto"/>
              <w:right w:val="nil"/>
            </w:tcBorders>
          </w:tcPr>
          <w:p w14:paraId="77A075AC"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e) interpretuje výsledky analýzy dat</w:t>
            </w:r>
          </w:p>
        </w:tc>
        <w:tc>
          <w:tcPr>
            <w:tcW w:w="4793" w:type="dxa"/>
            <w:tcBorders>
              <w:top w:val="single" w:sz="6" w:space="0" w:color="auto"/>
              <w:left w:val="single" w:sz="6" w:space="0" w:color="auto"/>
              <w:bottom w:val="single" w:sz="6" w:space="0" w:color="auto"/>
              <w:right w:val="single" w:sz="8" w:space="0" w:color="auto"/>
            </w:tcBorders>
          </w:tcPr>
          <w:p w14:paraId="61CF474F" w14:textId="77777777" w:rsidR="000F35C3" w:rsidRDefault="000F35C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CF0924" w14:paraId="13DA1106" w14:textId="77777777">
        <w:tc>
          <w:tcPr>
            <w:tcW w:w="4829" w:type="dxa"/>
            <w:tcBorders>
              <w:top w:val="single" w:sz="6" w:space="0" w:color="auto"/>
              <w:left w:val="single" w:sz="8" w:space="0" w:color="auto"/>
              <w:bottom w:val="single" w:sz="6" w:space="0" w:color="auto"/>
              <w:right w:val="nil"/>
            </w:tcBorders>
          </w:tcPr>
          <w:p w14:paraId="6E767459"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f) zkontroluje svůj postup podle písmen a) až e)</w:t>
            </w:r>
          </w:p>
        </w:tc>
        <w:tc>
          <w:tcPr>
            <w:tcW w:w="4793" w:type="dxa"/>
            <w:tcBorders>
              <w:top w:val="single" w:sz="6" w:space="0" w:color="auto"/>
              <w:left w:val="single" w:sz="6" w:space="0" w:color="auto"/>
              <w:bottom w:val="single" w:sz="6" w:space="0" w:color="auto"/>
              <w:right w:val="single" w:sz="8" w:space="0" w:color="auto"/>
            </w:tcBorders>
          </w:tcPr>
          <w:p w14:paraId="515A64CE" w14:textId="77777777" w:rsidR="000F35C3" w:rsidRDefault="000F35C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CF0924" w14:paraId="6137CEBD" w14:textId="77777777">
        <w:tc>
          <w:tcPr>
            <w:tcW w:w="4829" w:type="dxa"/>
            <w:tcBorders>
              <w:top w:val="single" w:sz="6" w:space="0" w:color="auto"/>
              <w:left w:val="single" w:sz="8" w:space="0" w:color="auto"/>
              <w:bottom w:val="single" w:sz="6" w:space="0" w:color="auto"/>
              <w:right w:val="nil"/>
            </w:tcBorders>
          </w:tcPr>
          <w:p w14:paraId="2FCBD305"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g) zformuluje závěr</w:t>
            </w:r>
          </w:p>
        </w:tc>
        <w:tc>
          <w:tcPr>
            <w:tcW w:w="4793" w:type="dxa"/>
            <w:tcBorders>
              <w:top w:val="single" w:sz="6" w:space="0" w:color="auto"/>
              <w:left w:val="single" w:sz="6" w:space="0" w:color="auto"/>
              <w:bottom w:val="single" w:sz="6" w:space="0" w:color="auto"/>
              <w:right w:val="single" w:sz="8" w:space="0" w:color="auto"/>
            </w:tcBorders>
          </w:tcPr>
          <w:p w14:paraId="396B375D" w14:textId="77777777" w:rsidR="000F35C3" w:rsidRDefault="000F35C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bl>
    <w:p w14:paraId="35030E57" w14:textId="77777777" w:rsidR="000F35C3" w:rsidRDefault="000F35C3">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5149E5BD" w14:textId="77777777" w:rsidR="000F35C3" w:rsidRDefault="000F35C3">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1AFF5E1A" w14:textId="77777777" w:rsidR="000F35C3" w:rsidRDefault="000F35C3">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CF0924" w14:paraId="091890BA" w14:textId="77777777">
        <w:tc>
          <w:tcPr>
            <w:tcW w:w="9486" w:type="dxa"/>
            <w:tcBorders>
              <w:top w:val="single" w:sz="6" w:space="0" w:color="auto"/>
              <w:left w:val="single" w:sz="8" w:space="0" w:color="auto"/>
              <w:bottom w:val="single" w:sz="6" w:space="0" w:color="auto"/>
              <w:right w:val="nil"/>
            </w:tcBorders>
            <w:shd w:val="pct30" w:color="0080FF" w:fill="FFFFFF"/>
          </w:tcPr>
          <w:p w14:paraId="51C9C823" w14:textId="77777777" w:rsidR="000F35C3" w:rsidRDefault="000F35C3">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6. ZÁVĚR</w:t>
            </w:r>
          </w:p>
        </w:tc>
        <w:tc>
          <w:tcPr>
            <w:tcW w:w="152" w:type="dxa"/>
            <w:tcBorders>
              <w:top w:val="single" w:sz="6" w:space="0" w:color="auto"/>
              <w:left w:val="nil"/>
              <w:bottom w:val="single" w:sz="6" w:space="0" w:color="auto"/>
              <w:right w:val="single" w:sz="8" w:space="0" w:color="auto"/>
            </w:tcBorders>
            <w:shd w:val="pct30" w:color="0080FF" w:fill="FFFFFF"/>
          </w:tcPr>
          <w:p w14:paraId="450FC580" w14:textId="77777777" w:rsidR="000F35C3" w:rsidRDefault="000F35C3">
            <w:pPr>
              <w:widowControl w:val="0"/>
              <w:autoSpaceDE w:val="0"/>
              <w:autoSpaceDN w:val="0"/>
              <w:adjustRightInd w:val="0"/>
              <w:spacing w:after="0" w:line="240" w:lineRule="auto"/>
              <w:jc w:val="center"/>
              <w:rPr>
                <w:rFonts w:ascii="Times New Roman" w:hAnsi="Times New Roman" w:cs="Times New Roman"/>
                <w:b/>
                <w:bCs/>
                <w:color w:val="000000"/>
                <w:kern w:val="0"/>
              </w:rPr>
            </w:pPr>
          </w:p>
        </w:tc>
      </w:tr>
    </w:tbl>
    <w:p w14:paraId="0E74DF27" w14:textId="77777777" w:rsidR="000F35C3" w:rsidRDefault="000F35C3">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34A19BC2" w14:textId="77777777" w:rsidR="000F35C3" w:rsidRDefault="000F35C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6.1. Citace zadané odborné otázky a odpověď</w:t>
      </w:r>
    </w:p>
    <w:p w14:paraId="36E12AFB" w14:textId="77777777" w:rsidR="000F35C3" w:rsidRDefault="000F35C3">
      <w:pPr>
        <w:widowControl w:val="0"/>
        <w:autoSpaceDE w:val="0"/>
        <w:autoSpaceDN w:val="0"/>
        <w:adjustRightInd w:val="0"/>
        <w:spacing w:after="0" w:line="240" w:lineRule="auto"/>
        <w:jc w:val="both"/>
        <w:rPr>
          <w:rFonts w:ascii="Times New Roman" w:hAnsi="Times New Roman" w:cs="Times New Roman"/>
          <w:b/>
          <w:bCs/>
          <w:color w:val="000000"/>
          <w:kern w:val="0"/>
          <w:u w:val="single"/>
        </w:rPr>
      </w:pPr>
      <w:r>
        <w:rPr>
          <w:rFonts w:ascii="Times New Roman" w:hAnsi="Times New Roman" w:cs="Times New Roman"/>
          <w:b/>
          <w:bCs/>
          <w:color w:val="000000"/>
          <w:kern w:val="0"/>
          <w:u w:val="single"/>
        </w:rPr>
        <w:t>Otázka</w:t>
      </w:r>
    </w:p>
    <w:p w14:paraId="773AC04A"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Znaleckým úkolem bylo provést ocenění cenou obvyklou jednotky č. 444/11 (byt) v budově Kynšperk nad Ohří č.p. 443, 444 (bytový dům, LV 1464) na pozemku parc. č. 169 (LV 1464) včetně podílu na společných částech domu a pozemku parc. č. 169 (zastavěná plocha a nádvoří) o velikosti 544/16779 v kat. území Kynšperk nad Ohří, obec Kynšperk nad Ohří, část obce Kynšperk nad Ohří, okres Sokolov, zapsáno na LV 2169.</w:t>
      </w:r>
    </w:p>
    <w:p w14:paraId="23EFC04F" w14:textId="77777777" w:rsidR="000F35C3" w:rsidRDefault="000F35C3">
      <w:pPr>
        <w:widowControl w:val="0"/>
        <w:autoSpaceDE w:val="0"/>
        <w:autoSpaceDN w:val="0"/>
        <w:adjustRightInd w:val="0"/>
        <w:spacing w:after="0" w:line="240" w:lineRule="auto"/>
        <w:jc w:val="both"/>
        <w:rPr>
          <w:rFonts w:ascii="Calibri" w:hAnsi="Calibri" w:cs="Calibri"/>
          <w:color w:val="000000"/>
          <w:kern w:val="0"/>
        </w:rPr>
      </w:pPr>
    </w:p>
    <w:p w14:paraId="3FB1600E" w14:textId="77777777" w:rsidR="000F35C3" w:rsidRDefault="000F35C3">
      <w:pPr>
        <w:widowControl w:val="0"/>
        <w:autoSpaceDE w:val="0"/>
        <w:autoSpaceDN w:val="0"/>
        <w:adjustRightInd w:val="0"/>
        <w:spacing w:after="0" w:line="240" w:lineRule="auto"/>
        <w:jc w:val="both"/>
        <w:rPr>
          <w:rFonts w:ascii="Times New Roman" w:hAnsi="Times New Roman" w:cs="Times New Roman"/>
          <w:b/>
          <w:bCs/>
          <w:color w:val="000000"/>
          <w:kern w:val="0"/>
          <w:u w:val="single"/>
        </w:rPr>
      </w:pPr>
      <w:r>
        <w:rPr>
          <w:rFonts w:ascii="Times New Roman" w:hAnsi="Times New Roman" w:cs="Times New Roman"/>
          <w:b/>
          <w:bCs/>
          <w:color w:val="000000"/>
          <w:kern w:val="0"/>
          <w:u w:val="single"/>
        </w:rPr>
        <w:t>Odpověď</w:t>
      </w:r>
    </w:p>
    <w:p w14:paraId="12BECC42" w14:textId="2703D184" w:rsidR="000F35C3" w:rsidRDefault="000F35C3">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Na základě výše zjištěných skutečností dle námi vybraných zdrojových dat a provedené analýze stanovujeme cenu obvyklou v objektivní zaokrouhlené výši</w:t>
      </w:r>
      <w:r>
        <w:rPr>
          <w:rFonts w:ascii="Times New Roman" w:hAnsi="Times New Roman" w:cs="Times New Roman"/>
          <w:b/>
          <w:bCs/>
          <w:color w:val="000000"/>
          <w:kern w:val="0"/>
        </w:rPr>
        <w:t xml:space="preserve"> </w:t>
      </w:r>
      <w:proofErr w:type="gramStart"/>
      <w:r>
        <w:rPr>
          <w:rFonts w:ascii="Times New Roman" w:hAnsi="Times New Roman" w:cs="Times New Roman"/>
          <w:b/>
          <w:bCs/>
          <w:color w:val="000000"/>
          <w:kern w:val="0"/>
        </w:rPr>
        <w:t>1.69</w:t>
      </w:r>
      <w:r w:rsidR="00C72FC0">
        <w:rPr>
          <w:rFonts w:ascii="Times New Roman" w:hAnsi="Times New Roman" w:cs="Times New Roman"/>
          <w:b/>
          <w:bCs/>
          <w:color w:val="000000"/>
          <w:kern w:val="0"/>
        </w:rPr>
        <w:t>2</w:t>
      </w:r>
      <w:r>
        <w:rPr>
          <w:rFonts w:ascii="Times New Roman" w:hAnsi="Times New Roman" w:cs="Times New Roman"/>
          <w:b/>
          <w:bCs/>
          <w:color w:val="000000"/>
          <w:kern w:val="0"/>
        </w:rPr>
        <w:t>.000,-</w:t>
      </w:r>
      <w:proofErr w:type="gramEnd"/>
      <w:r>
        <w:rPr>
          <w:rFonts w:ascii="Times New Roman" w:hAnsi="Times New Roman" w:cs="Times New Roman"/>
          <w:b/>
          <w:bCs/>
          <w:color w:val="000000"/>
          <w:kern w:val="0"/>
        </w:rPr>
        <w:t xml:space="preserve"> Kč.</w:t>
      </w:r>
    </w:p>
    <w:p w14:paraId="3CAECB48" w14:textId="77777777" w:rsidR="000F35C3" w:rsidRDefault="000F35C3">
      <w:pPr>
        <w:widowControl w:val="0"/>
        <w:autoSpaceDE w:val="0"/>
        <w:autoSpaceDN w:val="0"/>
        <w:adjustRightInd w:val="0"/>
        <w:spacing w:after="0" w:line="240" w:lineRule="auto"/>
        <w:jc w:val="both"/>
        <w:rPr>
          <w:rFonts w:ascii="Calibri" w:hAnsi="Calibri" w:cs="Calibri"/>
          <w:b/>
          <w:bCs/>
          <w:color w:val="000000"/>
          <w:kern w:val="0"/>
        </w:rPr>
      </w:pPr>
    </w:p>
    <w:p w14:paraId="18B951B1"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Níže uvádíme rozpis jednotlivých požadovaných části dle usnesení soudního exekutora:</w:t>
      </w:r>
    </w:p>
    <w:p w14:paraId="187FA030" w14:textId="77777777" w:rsidR="000F35C3" w:rsidRDefault="000F35C3">
      <w:pPr>
        <w:widowControl w:val="0"/>
        <w:autoSpaceDE w:val="0"/>
        <w:autoSpaceDN w:val="0"/>
        <w:adjustRightInd w:val="0"/>
        <w:spacing w:after="0" w:line="240" w:lineRule="auto"/>
        <w:jc w:val="both"/>
        <w:rPr>
          <w:rFonts w:ascii="Calibri" w:hAnsi="Calibri" w:cs="Calibri"/>
          <w:color w:val="000000"/>
          <w:kern w:val="0"/>
        </w:rPr>
      </w:pPr>
    </w:p>
    <w:p w14:paraId="7330FD58" w14:textId="77777777" w:rsidR="000F35C3" w:rsidRDefault="000F35C3">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 Nemovitá věc, které se výkon týká:</w:t>
      </w:r>
    </w:p>
    <w:p w14:paraId="397403BE"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p>
    <w:p w14:paraId="32C063B8"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jednotky č. 444/11 (byt) v budově Kynšperk nad Ohří č.p. 443, 444 (bytový dům, LV 1464) na pozemku parc. č. 169 (LV 1464) včetně podílu na společných částech domu a pozemku parc. č. 169 (zastavěná plocha a nádvoří) o velikosti 544/16779 v kat. území Kynšperk nad Ohří, obec Kynšperk nad Ohří, část obce Kynšperk nad Ohří, okres Sokolov, zapsáno na LV 2169.</w:t>
      </w:r>
    </w:p>
    <w:p w14:paraId="19BE5F90" w14:textId="77777777" w:rsidR="000F35C3" w:rsidRDefault="000F35C3">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3764E95C" w14:textId="77777777" w:rsidR="000F35C3" w:rsidRDefault="000F35C3">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II. Příslušenství nemovité věci, které se výkon týká:</w:t>
      </w:r>
    </w:p>
    <w:p w14:paraId="3559444A" w14:textId="77777777" w:rsidR="000F35C3" w:rsidRDefault="000F35C3">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3C9DAADE" w14:textId="77777777" w:rsidR="000F35C3" w:rsidRDefault="000F35C3">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sklep.</w:t>
      </w:r>
    </w:p>
    <w:p w14:paraId="07B0D447" w14:textId="77777777" w:rsidR="000F35C3" w:rsidRDefault="000F35C3">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25CC622A" w14:textId="77777777" w:rsidR="000F35C3" w:rsidRDefault="000F35C3">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III. Výsledná cena nemovité věci (I.) a jejího příslušenství (II.), které se výkon týká:</w:t>
      </w:r>
    </w:p>
    <w:p w14:paraId="2CDEABD7" w14:textId="77777777" w:rsidR="000F35C3" w:rsidRDefault="000F35C3">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757334FD" w14:textId="5F8E59D5" w:rsidR="000F35C3" w:rsidRDefault="000F35C3">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 v objektivní zaokrouhlené výši</w:t>
      </w:r>
      <w:r>
        <w:rPr>
          <w:rFonts w:ascii="Times New Roman" w:hAnsi="Times New Roman" w:cs="Times New Roman"/>
          <w:b/>
          <w:bCs/>
          <w:color w:val="000000"/>
          <w:kern w:val="0"/>
        </w:rPr>
        <w:t xml:space="preserve"> </w:t>
      </w:r>
      <w:proofErr w:type="gramStart"/>
      <w:r>
        <w:rPr>
          <w:rFonts w:ascii="Times New Roman" w:hAnsi="Times New Roman" w:cs="Times New Roman"/>
          <w:b/>
          <w:bCs/>
          <w:color w:val="000000"/>
          <w:kern w:val="0"/>
        </w:rPr>
        <w:t>1.69</w:t>
      </w:r>
      <w:r w:rsidR="00C72FC0">
        <w:rPr>
          <w:rFonts w:ascii="Times New Roman" w:hAnsi="Times New Roman" w:cs="Times New Roman"/>
          <w:b/>
          <w:bCs/>
          <w:color w:val="000000"/>
          <w:kern w:val="0"/>
        </w:rPr>
        <w:t>2</w:t>
      </w:r>
      <w:r>
        <w:rPr>
          <w:rFonts w:ascii="Times New Roman" w:hAnsi="Times New Roman" w:cs="Times New Roman"/>
          <w:b/>
          <w:bCs/>
          <w:color w:val="000000"/>
          <w:kern w:val="0"/>
        </w:rPr>
        <w:t>.000,-</w:t>
      </w:r>
      <w:proofErr w:type="gramEnd"/>
      <w:r>
        <w:rPr>
          <w:rFonts w:ascii="Times New Roman" w:hAnsi="Times New Roman" w:cs="Times New Roman"/>
          <w:b/>
          <w:bCs/>
          <w:color w:val="000000"/>
          <w:kern w:val="0"/>
        </w:rPr>
        <w:t xml:space="preserve"> Kč.</w:t>
      </w:r>
    </w:p>
    <w:p w14:paraId="5FC4BE9A" w14:textId="77777777" w:rsidR="000F35C3" w:rsidRDefault="000F35C3">
      <w:pPr>
        <w:widowControl w:val="0"/>
        <w:autoSpaceDE w:val="0"/>
        <w:autoSpaceDN w:val="0"/>
        <w:adjustRightInd w:val="0"/>
        <w:spacing w:after="0" w:line="240" w:lineRule="auto"/>
        <w:jc w:val="both"/>
        <w:rPr>
          <w:rFonts w:ascii="Times New Roman" w:hAnsi="Times New Roman" w:cs="Times New Roman"/>
          <w:b/>
          <w:bCs/>
          <w:color w:val="000000"/>
          <w:kern w:val="0"/>
        </w:rPr>
      </w:pPr>
    </w:p>
    <w:p w14:paraId="19D0FAFB" w14:textId="77777777" w:rsidR="000F35C3" w:rsidRDefault="000F35C3">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IV. Známá věcná břemena, výměnky a nájemní, pachtovní či předkupní práva, která prodejem v dražbě nezaniknou:</w:t>
      </w:r>
    </w:p>
    <w:p w14:paraId="01392B48" w14:textId="77777777" w:rsidR="000F35C3" w:rsidRDefault="000F35C3">
      <w:pPr>
        <w:widowControl w:val="0"/>
        <w:autoSpaceDE w:val="0"/>
        <w:autoSpaceDN w:val="0"/>
        <w:adjustRightInd w:val="0"/>
        <w:spacing w:after="0" w:line="240" w:lineRule="auto"/>
        <w:jc w:val="both"/>
        <w:rPr>
          <w:rFonts w:ascii="Times New Roman" w:hAnsi="Times New Roman" w:cs="Times New Roman"/>
          <w:b/>
          <w:bCs/>
          <w:color w:val="000000"/>
          <w:kern w:val="0"/>
        </w:rPr>
      </w:pPr>
    </w:p>
    <w:p w14:paraId="093E1033"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nezjištěny.</w:t>
      </w:r>
    </w:p>
    <w:p w14:paraId="2D0019FF" w14:textId="77777777" w:rsidR="000F35C3" w:rsidRDefault="000F35C3">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4989"/>
        <w:gridCol w:w="4573"/>
        <w:gridCol w:w="76"/>
      </w:tblGrid>
      <w:tr w:rsidR="00CF0924" w14:paraId="11BBB3F6" w14:textId="77777777">
        <w:tc>
          <w:tcPr>
            <w:tcW w:w="4989" w:type="dxa"/>
            <w:tcBorders>
              <w:top w:val="single" w:sz="6" w:space="0" w:color="auto"/>
              <w:left w:val="single" w:sz="8" w:space="0" w:color="auto"/>
              <w:bottom w:val="nil"/>
              <w:right w:val="nil"/>
            </w:tcBorders>
            <w:vAlign w:val="center"/>
          </w:tcPr>
          <w:p w14:paraId="77F203B8" w14:textId="77777777" w:rsidR="000F35C3" w:rsidRDefault="000F35C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35" w:firstLine="735"/>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Obvyklá cena</w:t>
            </w:r>
          </w:p>
        </w:tc>
        <w:tc>
          <w:tcPr>
            <w:tcW w:w="4649" w:type="dxa"/>
            <w:gridSpan w:val="2"/>
            <w:tcBorders>
              <w:top w:val="single" w:sz="6" w:space="0" w:color="auto"/>
              <w:left w:val="nil"/>
              <w:bottom w:val="nil"/>
              <w:right w:val="single" w:sz="8" w:space="0" w:color="auto"/>
            </w:tcBorders>
            <w:vAlign w:val="center"/>
          </w:tcPr>
          <w:p w14:paraId="1A859542" w14:textId="77777777" w:rsidR="000F35C3" w:rsidRDefault="000F35C3">
            <w:pPr>
              <w:widowControl w:val="0"/>
              <w:tabs>
                <w:tab w:val="left" w:pos="7470"/>
              </w:tabs>
              <w:autoSpaceDE w:val="0"/>
              <w:autoSpaceDN w:val="0"/>
              <w:adjustRightInd w:val="0"/>
              <w:spacing w:before="57" w:after="0" w:line="240" w:lineRule="auto"/>
              <w:ind w:right="1350"/>
              <w:jc w:val="right"/>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1 692 000 Kč</w:t>
            </w:r>
          </w:p>
        </w:tc>
      </w:tr>
      <w:tr w:rsidR="00CF0924" w14:paraId="08ABA9B4" w14:textId="77777777">
        <w:tc>
          <w:tcPr>
            <w:tcW w:w="9562" w:type="dxa"/>
            <w:gridSpan w:val="2"/>
            <w:tcBorders>
              <w:top w:val="nil"/>
              <w:left w:val="single" w:sz="8" w:space="0" w:color="auto"/>
              <w:bottom w:val="single" w:sz="6" w:space="0" w:color="auto"/>
              <w:right w:val="nil"/>
            </w:tcBorders>
          </w:tcPr>
          <w:p w14:paraId="68F39392" w14:textId="77777777" w:rsidR="000F35C3" w:rsidRDefault="000F35C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slovy: Jeden milion šest set devadesát dva tisíc Kč</w:t>
            </w:r>
          </w:p>
        </w:tc>
        <w:tc>
          <w:tcPr>
            <w:tcW w:w="76" w:type="dxa"/>
            <w:tcBorders>
              <w:top w:val="nil"/>
              <w:left w:val="nil"/>
              <w:bottom w:val="single" w:sz="6" w:space="0" w:color="auto"/>
              <w:right w:val="single" w:sz="8" w:space="0" w:color="auto"/>
            </w:tcBorders>
          </w:tcPr>
          <w:p w14:paraId="63713283" w14:textId="77777777" w:rsidR="000F35C3" w:rsidRDefault="000F35C3">
            <w:pPr>
              <w:widowControl w:val="0"/>
              <w:tabs>
                <w:tab w:val="left" w:pos="4230"/>
              </w:tabs>
              <w:autoSpaceDE w:val="0"/>
              <w:autoSpaceDN w:val="0"/>
              <w:adjustRightInd w:val="0"/>
              <w:spacing w:before="57" w:after="0" w:line="360" w:lineRule="atLeast"/>
              <w:rPr>
                <w:rFonts w:ascii="Times New Roman" w:hAnsi="Times New Roman" w:cs="Times New Roman"/>
                <w:color w:val="000000"/>
                <w:kern w:val="0"/>
              </w:rPr>
            </w:pPr>
          </w:p>
        </w:tc>
      </w:tr>
    </w:tbl>
    <w:p w14:paraId="3C9A1743" w14:textId="77777777" w:rsidR="000F35C3" w:rsidRDefault="000F35C3">
      <w:pPr>
        <w:widowControl w:val="0"/>
        <w:tabs>
          <w:tab w:val="left" w:pos="1260"/>
          <w:tab w:val="left" w:pos="2430"/>
          <w:tab w:val="left" w:pos="3690"/>
          <w:tab w:val="left" w:pos="5220"/>
          <w:tab w:val="left" w:pos="5490"/>
          <w:tab w:val="left" w:pos="6390"/>
          <w:tab w:val="left" w:pos="7470"/>
        </w:tabs>
        <w:autoSpaceDE w:val="0"/>
        <w:autoSpaceDN w:val="0"/>
        <w:adjustRightInd w:val="0"/>
        <w:spacing w:before="20" w:after="20" w:line="240" w:lineRule="auto"/>
        <w:rPr>
          <w:rFonts w:ascii="Times New Roman" w:hAnsi="Times New Roman" w:cs="Times New Roman"/>
          <w:color w:val="000000"/>
          <w:kern w:val="0"/>
        </w:rPr>
      </w:pPr>
    </w:p>
    <w:p w14:paraId="7E7B3A01" w14:textId="77777777" w:rsidR="000F35C3" w:rsidRDefault="000F35C3" w:rsidP="000F35C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jc w:val="both"/>
        <w:rPr>
          <w:rFonts w:ascii="Calibri" w:hAnsi="Calibri" w:cs="Calibri"/>
          <w:b/>
          <w:bCs/>
          <w:color w:val="000000"/>
          <w:kern w:val="0"/>
          <w:sz w:val="32"/>
          <w:szCs w:val="32"/>
        </w:rPr>
      </w:pPr>
      <w:r>
        <w:rPr>
          <w:rFonts w:ascii="Calibri" w:hAnsi="Calibri" w:cs="Calibri"/>
          <w:b/>
          <w:bCs/>
          <w:color w:val="000000"/>
          <w:kern w:val="0"/>
          <w:sz w:val="32"/>
          <w:szCs w:val="32"/>
        </w:rPr>
        <w:t>6.2. Podmínky správnosti závěru, případně skutečnosti snižující jeho přesnost</w:t>
      </w:r>
    </w:p>
    <w:p w14:paraId="586D424E" w14:textId="304FA063"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Nebyly zjištěny.</w:t>
      </w:r>
    </w:p>
    <w:p w14:paraId="1FD45863" w14:textId="77777777" w:rsidR="000F35C3" w:rsidRDefault="000F35C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br w:type="page"/>
      </w:r>
    </w:p>
    <w:p w14:paraId="7295939C" w14:textId="77777777" w:rsidR="000F35C3" w:rsidRDefault="000F35C3">
      <w:pPr>
        <w:widowControl w:val="0"/>
        <w:tabs>
          <w:tab w:val="left" w:pos="1440"/>
          <w:tab w:val="left" w:pos="2520"/>
          <w:tab w:val="left" w:pos="3870"/>
          <w:tab w:val="left" w:pos="5130"/>
          <w:tab w:val="left" w:pos="5490"/>
          <w:tab w:val="left" w:pos="6660"/>
          <w:tab w:val="left" w:pos="792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CF0924" w14:paraId="16DB8254" w14:textId="77777777">
        <w:tc>
          <w:tcPr>
            <w:tcW w:w="9486" w:type="dxa"/>
            <w:tcBorders>
              <w:top w:val="single" w:sz="6" w:space="0" w:color="auto"/>
              <w:left w:val="single" w:sz="8" w:space="0" w:color="auto"/>
              <w:bottom w:val="single" w:sz="6" w:space="0" w:color="auto"/>
              <w:right w:val="nil"/>
            </w:tcBorders>
            <w:shd w:val="pct30" w:color="0080FF" w:fill="FFFFFF"/>
          </w:tcPr>
          <w:p w14:paraId="6F4CA960" w14:textId="77777777" w:rsidR="000F35C3" w:rsidRDefault="000F35C3">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SEZNAM PŘÍLOH</w:t>
            </w:r>
          </w:p>
        </w:tc>
        <w:tc>
          <w:tcPr>
            <w:tcW w:w="152" w:type="dxa"/>
            <w:tcBorders>
              <w:top w:val="single" w:sz="6" w:space="0" w:color="auto"/>
              <w:left w:val="nil"/>
              <w:bottom w:val="single" w:sz="6" w:space="0" w:color="auto"/>
              <w:right w:val="single" w:sz="8" w:space="0" w:color="auto"/>
            </w:tcBorders>
            <w:shd w:val="pct30" w:color="0080FF" w:fill="FFFFFF"/>
          </w:tcPr>
          <w:p w14:paraId="6B0AC2AE" w14:textId="77777777" w:rsidR="000F35C3" w:rsidRDefault="000F35C3">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7E238064" w14:textId="77777777" w:rsidR="000F35C3" w:rsidRDefault="000F35C3">
      <w:pPr>
        <w:widowControl w:val="0"/>
        <w:tabs>
          <w:tab w:val="left" w:pos="4230"/>
        </w:tabs>
        <w:autoSpaceDE w:val="0"/>
        <w:autoSpaceDN w:val="0"/>
        <w:adjustRightInd w:val="0"/>
        <w:spacing w:before="57" w:after="57" w:line="240" w:lineRule="auto"/>
        <w:ind w:right="113"/>
        <w:rPr>
          <w:rFonts w:ascii="Times New Roman" w:hAnsi="Times New Roman" w:cs="Times New Roman"/>
          <w:b/>
          <w:bCs/>
          <w:color w:val="000000"/>
          <w:kern w:val="0"/>
          <w:sz w:val="16"/>
          <w:szCs w:val="16"/>
        </w:rPr>
      </w:pPr>
    </w:p>
    <w:tbl>
      <w:tblPr>
        <w:tblW w:w="0" w:type="auto"/>
        <w:tblLayout w:type="fixed"/>
        <w:tblCellMar>
          <w:left w:w="0" w:type="dxa"/>
          <w:right w:w="0" w:type="dxa"/>
        </w:tblCellMar>
        <w:tblLook w:val="0000" w:firstRow="0" w:lastRow="0" w:firstColumn="0" w:lastColumn="0" w:noHBand="0" w:noVBand="0"/>
      </w:tblPr>
      <w:tblGrid>
        <w:gridCol w:w="7067"/>
        <w:gridCol w:w="983"/>
        <w:gridCol w:w="1588"/>
      </w:tblGrid>
      <w:tr w:rsidR="00CF0924" w14:paraId="200DF592" w14:textId="77777777">
        <w:tc>
          <w:tcPr>
            <w:tcW w:w="7067" w:type="dxa"/>
            <w:tcBorders>
              <w:top w:val="nil"/>
              <w:left w:val="nil"/>
              <w:bottom w:val="single" w:sz="8" w:space="0" w:color="auto"/>
              <w:right w:val="nil"/>
            </w:tcBorders>
          </w:tcPr>
          <w:p w14:paraId="33017F27" w14:textId="77777777" w:rsidR="000F35C3" w:rsidRDefault="000F35C3">
            <w:pPr>
              <w:widowControl w:val="0"/>
              <w:tabs>
                <w:tab w:val="left" w:pos="4230"/>
              </w:tabs>
              <w:autoSpaceDE w:val="0"/>
              <w:autoSpaceDN w:val="0"/>
              <w:adjustRightInd w:val="0"/>
              <w:spacing w:after="0" w:line="240" w:lineRule="auto"/>
              <w:rPr>
                <w:rFonts w:ascii="Times New Roman" w:hAnsi="Times New Roman" w:cs="Times New Roman"/>
                <w:b/>
                <w:bCs/>
                <w:color w:val="000000"/>
                <w:kern w:val="0"/>
              </w:rPr>
            </w:pPr>
          </w:p>
        </w:tc>
        <w:tc>
          <w:tcPr>
            <w:tcW w:w="2571" w:type="dxa"/>
            <w:gridSpan w:val="2"/>
            <w:tcBorders>
              <w:top w:val="nil"/>
              <w:left w:val="nil"/>
              <w:bottom w:val="single" w:sz="8" w:space="0" w:color="auto"/>
              <w:right w:val="nil"/>
            </w:tcBorders>
          </w:tcPr>
          <w:p w14:paraId="5B77DAB3" w14:textId="77777777" w:rsidR="000F35C3" w:rsidRDefault="000F35C3">
            <w:pPr>
              <w:widowControl w:val="0"/>
              <w:tabs>
                <w:tab w:val="left" w:pos="423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počet stran A4 v příloze:</w:t>
            </w:r>
          </w:p>
        </w:tc>
      </w:tr>
      <w:tr w:rsidR="00CF0924" w14:paraId="4CDCF360" w14:textId="77777777">
        <w:tc>
          <w:tcPr>
            <w:tcW w:w="8050" w:type="dxa"/>
            <w:gridSpan w:val="2"/>
            <w:tcBorders>
              <w:top w:val="nil"/>
              <w:left w:val="nil"/>
              <w:bottom w:val="nil"/>
              <w:right w:val="nil"/>
            </w:tcBorders>
          </w:tcPr>
          <w:p w14:paraId="5292B522" w14:textId="77777777" w:rsidR="000F35C3" w:rsidRDefault="000F35C3">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Výpis z katastru nemovitostí pro LV č. 2169</w:t>
            </w:r>
          </w:p>
        </w:tc>
        <w:tc>
          <w:tcPr>
            <w:tcW w:w="1588" w:type="dxa"/>
            <w:tcBorders>
              <w:top w:val="nil"/>
              <w:left w:val="nil"/>
              <w:bottom w:val="nil"/>
              <w:right w:val="nil"/>
            </w:tcBorders>
          </w:tcPr>
          <w:p w14:paraId="613BC40C" w14:textId="77777777" w:rsidR="000F35C3" w:rsidRDefault="000F35C3">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2</w:t>
            </w:r>
          </w:p>
        </w:tc>
      </w:tr>
      <w:tr w:rsidR="00CF0924" w14:paraId="71279AB9" w14:textId="77777777">
        <w:tc>
          <w:tcPr>
            <w:tcW w:w="8050" w:type="dxa"/>
            <w:gridSpan w:val="2"/>
            <w:tcBorders>
              <w:top w:val="nil"/>
              <w:left w:val="nil"/>
              <w:bottom w:val="nil"/>
              <w:right w:val="nil"/>
            </w:tcBorders>
          </w:tcPr>
          <w:p w14:paraId="53717CBF" w14:textId="77777777" w:rsidR="000F35C3" w:rsidRDefault="000F35C3">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Výpis z katastru nemovitostí pro LV č. 1464</w:t>
            </w:r>
          </w:p>
        </w:tc>
        <w:tc>
          <w:tcPr>
            <w:tcW w:w="1588" w:type="dxa"/>
            <w:tcBorders>
              <w:top w:val="nil"/>
              <w:left w:val="nil"/>
              <w:bottom w:val="nil"/>
              <w:right w:val="nil"/>
            </w:tcBorders>
          </w:tcPr>
          <w:p w14:paraId="43CB812E" w14:textId="77777777" w:rsidR="000F35C3" w:rsidRDefault="000F35C3">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4</w:t>
            </w:r>
          </w:p>
        </w:tc>
      </w:tr>
      <w:tr w:rsidR="00CF0924" w14:paraId="2A6BDAFF" w14:textId="77777777">
        <w:tc>
          <w:tcPr>
            <w:tcW w:w="8050" w:type="dxa"/>
            <w:gridSpan w:val="2"/>
            <w:tcBorders>
              <w:top w:val="nil"/>
              <w:left w:val="nil"/>
              <w:bottom w:val="nil"/>
              <w:right w:val="nil"/>
            </w:tcBorders>
          </w:tcPr>
          <w:p w14:paraId="1767A352" w14:textId="77777777" w:rsidR="000F35C3" w:rsidRDefault="000F35C3">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Snímek katastrální mapy</w:t>
            </w:r>
          </w:p>
        </w:tc>
        <w:tc>
          <w:tcPr>
            <w:tcW w:w="1588" w:type="dxa"/>
            <w:tcBorders>
              <w:top w:val="nil"/>
              <w:left w:val="nil"/>
              <w:bottom w:val="nil"/>
              <w:right w:val="nil"/>
            </w:tcBorders>
          </w:tcPr>
          <w:p w14:paraId="7DF13ADB" w14:textId="77777777" w:rsidR="000F35C3" w:rsidRDefault="000F35C3">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2</w:t>
            </w:r>
          </w:p>
        </w:tc>
      </w:tr>
      <w:tr w:rsidR="00CF0924" w14:paraId="2C9E3278" w14:textId="77777777">
        <w:tc>
          <w:tcPr>
            <w:tcW w:w="8050" w:type="dxa"/>
            <w:gridSpan w:val="2"/>
            <w:tcBorders>
              <w:top w:val="nil"/>
              <w:left w:val="nil"/>
              <w:bottom w:val="nil"/>
              <w:right w:val="nil"/>
            </w:tcBorders>
          </w:tcPr>
          <w:p w14:paraId="06BD30CC" w14:textId="77777777" w:rsidR="000F35C3" w:rsidRDefault="000F35C3">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Mapa oblasti</w:t>
            </w:r>
          </w:p>
        </w:tc>
        <w:tc>
          <w:tcPr>
            <w:tcW w:w="1588" w:type="dxa"/>
            <w:tcBorders>
              <w:top w:val="nil"/>
              <w:left w:val="nil"/>
              <w:bottom w:val="nil"/>
              <w:right w:val="nil"/>
            </w:tcBorders>
          </w:tcPr>
          <w:p w14:paraId="2305B284" w14:textId="77777777" w:rsidR="000F35C3" w:rsidRDefault="000F35C3">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1</w:t>
            </w:r>
          </w:p>
        </w:tc>
      </w:tr>
      <w:tr w:rsidR="00CF0924" w14:paraId="020A6A09" w14:textId="77777777">
        <w:tc>
          <w:tcPr>
            <w:tcW w:w="8050" w:type="dxa"/>
            <w:gridSpan w:val="2"/>
            <w:tcBorders>
              <w:top w:val="nil"/>
              <w:left w:val="nil"/>
              <w:bottom w:val="nil"/>
              <w:right w:val="nil"/>
            </w:tcBorders>
          </w:tcPr>
          <w:p w14:paraId="4C02E821" w14:textId="77777777" w:rsidR="000F35C3" w:rsidRDefault="000F35C3">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Fotodokumentace nemovité věci</w:t>
            </w:r>
          </w:p>
        </w:tc>
        <w:tc>
          <w:tcPr>
            <w:tcW w:w="1588" w:type="dxa"/>
            <w:tcBorders>
              <w:top w:val="nil"/>
              <w:left w:val="nil"/>
              <w:bottom w:val="nil"/>
              <w:right w:val="nil"/>
            </w:tcBorders>
          </w:tcPr>
          <w:p w14:paraId="26901F38" w14:textId="55FD7B86" w:rsidR="000F35C3" w:rsidRDefault="00154DF9">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7</w:t>
            </w:r>
          </w:p>
        </w:tc>
      </w:tr>
      <w:tr w:rsidR="00CF0924" w14:paraId="47EEC1DE" w14:textId="77777777">
        <w:tc>
          <w:tcPr>
            <w:tcW w:w="8050" w:type="dxa"/>
            <w:gridSpan w:val="2"/>
            <w:tcBorders>
              <w:top w:val="nil"/>
              <w:left w:val="nil"/>
              <w:bottom w:val="nil"/>
              <w:right w:val="nil"/>
            </w:tcBorders>
          </w:tcPr>
          <w:p w14:paraId="649281B5" w14:textId="77777777" w:rsidR="000F35C3" w:rsidRDefault="000F35C3">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Schematické znázornění</w:t>
            </w:r>
          </w:p>
        </w:tc>
        <w:tc>
          <w:tcPr>
            <w:tcW w:w="1588" w:type="dxa"/>
            <w:tcBorders>
              <w:top w:val="nil"/>
              <w:left w:val="nil"/>
              <w:bottom w:val="nil"/>
              <w:right w:val="nil"/>
            </w:tcBorders>
          </w:tcPr>
          <w:p w14:paraId="6386DD90" w14:textId="77777777" w:rsidR="000F35C3" w:rsidRDefault="000F35C3">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1</w:t>
            </w:r>
          </w:p>
        </w:tc>
      </w:tr>
    </w:tbl>
    <w:p w14:paraId="2D903259" w14:textId="77777777" w:rsidR="000F35C3" w:rsidRDefault="000F35C3">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0FE84BDD" w14:textId="77777777" w:rsidR="000F35C3" w:rsidRDefault="000F35C3">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r>
        <w:rPr>
          <w:rFonts w:ascii="Times New Roman" w:hAnsi="Times New Roman" w:cs="Times New Roman"/>
          <w:color w:val="000000"/>
          <w:kern w:val="0"/>
        </w:rPr>
        <w:br w:type="page"/>
      </w:r>
    </w:p>
    <w:p w14:paraId="5DB3145B" w14:textId="245A9369" w:rsidR="000F35C3" w:rsidRDefault="000F35C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lastRenderedPageBreak/>
        <w:t>Doplňující informace</w:t>
      </w:r>
    </w:p>
    <w:p w14:paraId="3A20D44E" w14:textId="77777777" w:rsidR="000F35C3" w:rsidRDefault="000F35C3">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Odměna byla sjednána smluvně.</w:t>
      </w:r>
    </w:p>
    <w:p w14:paraId="187D87BC" w14:textId="77777777" w:rsidR="000F35C3" w:rsidRDefault="000F35C3">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p>
    <w:p w14:paraId="22CCF125" w14:textId="77777777" w:rsidR="000F35C3" w:rsidRDefault="000F35C3">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Osoby podílející se na zpracování znaleckého posudku:</w:t>
      </w:r>
    </w:p>
    <w:p w14:paraId="2B4BD49C" w14:textId="77777777" w:rsidR="000F35C3" w:rsidRDefault="000F35C3">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JUDr. Mgr. Marcel Petrásek, M.B.A., LL.M.</w:t>
      </w:r>
    </w:p>
    <w:p w14:paraId="1728390B" w14:textId="77777777" w:rsidR="000F35C3" w:rsidRDefault="000F35C3">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Jiří Roub</w:t>
      </w:r>
    </w:p>
    <w:p w14:paraId="7D2122B3" w14:textId="77777777" w:rsidR="000F35C3" w:rsidRDefault="000F35C3">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Pavlína Rytířová</w:t>
      </w:r>
    </w:p>
    <w:p w14:paraId="7B3D26B5" w14:textId="77777777" w:rsidR="000F35C3" w:rsidRDefault="000F35C3">
      <w:pPr>
        <w:widowControl w:val="0"/>
        <w:autoSpaceDE w:val="0"/>
        <w:autoSpaceDN w:val="0"/>
        <w:adjustRightInd w:val="0"/>
        <w:spacing w:before="30" w:after="0" w:line="240" w:lineRule="auto"/>
        <w:ind w:left="284" w:right="284"/>
        <w:jc w:val="both"/>
        <w:rPr>
          <w:rFonts w:ascii="Times New Roman" w:hAnsi="Times New Roman" w:cs="Times New Roman"/>
          <w:color w:val="000000"/>
          <w:kern w:val="0"/>
        </w:rPr>
      </w:pPr>
      <w:r>
        <w:rPr>
          <w:rFonts w:ascii="Times New Roman" w:hAnsi="Times New Roman" w:cs="Times New Roman"/>
          <w:color w:val="000000"/>
          <w:kern w:val="0"/>
        </w:rPr>
        <w:t>Jakub Chrástecký</w:t>
      </w:r>
    </w:p>
    <w:p w14:paraId="7402ED5B" w14:textId="77777777" w:rsidR="000F35C3" w:rsidRDefault="000F35C3">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p>
    <w:p w14:paraId="2F58A2C9" w14:textId="77777777" w:rsidR="000F35C3" w:rsidRDefault="000F35C3">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Označení osoby, která je povinna na žádost orgánu veřejné moci osobně stvrdit nebo doplnit znalecký posudek nebo blíže vysvětlit jeho obsah, pokud znalecký posudek zpracovala znalecká kancelář (§ 28 zákona č. 254/2019 Sb. o znalcích, znaleckých kancelářích a znaleckých ústavech):</w:t>
      </w:r>
    </w:p>
    <w:p w14:paraId="7669D40E" w14:textId="77777777" w:rsidR="000F35C3" w:rsidRDefault="000F35C3">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JUDr. Mgr. Marcel Petrásek, M.B.A., LL.M.</w:t>
      </w:r>
    </w:p>
    <w:p w14:paraId="54F91186" w14:textId="77777777" w:rsidR="000F35C3" w:rsidRDefault="000F35C3">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Jiří Roub</w:t>
      </w:r>
    </w:p>
    <w:p w14:paraId="72222602" w14:textId="77777777" w:rsidR="000F35C3" w:rsidRDefault="000F35C3">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p>
    <w:p w14:paraId="2318FCE2" w14:textId="77777777" w:rsidR="000F35C3" w:rsidRDefault="000F35C3">
      <w:pPr>
        <w:widowControl w:val="0"/>
        <w:autoSpaceDE w:val="0"/>
        <w:autoSpaceDN w:val="0"/>
        <w:adjustRightInd w:val="0"/>
        <w:spacing w:before="30" w:after="0" w:line="240" w:lineRule="auto"/>
        <w:ind w:left="284" w:right="284"/>
        <w:jc w:val="both"/>
        <w:rPr>
          <w:rFonts w:ascii="Times New Roman" w:hAnsi="Times New Roman" w:cs="Times New Roman"/>
          <w:color w:val="000000"/>
          <w:kern w:val="0"/>
        </w:rPr>
      </w:pPr>
      <w:r>
        <w:rPr>
          <w:rFonts w:ascii="Times New Roman" w:hAnsi="Times New Roman" w:cs="Times New Roman"/>
          <w:color w:val="000000"/>
          <w:kern w:val="0"/>
        </w:rPr>
        <w:t>Konzultant nebyl přibrán.</w:t>
      </w:r>
    </w:p>
    <w:p w14:paraId="10AA4225" w14:textId="77777777" w:rsidR="000F35C3" w:rsidRDefault="000F35C3">
      <w:pPr>
        <w:widowControl w:val="0"/>
        <w:autoSpaceDE w:val="0"/>
        <w:autoSpaceDN w:val="0"/>
        <w:adjustRightInd w:val="0"/>
        <w:spacing w:before="30" w:after="0" w:line="240" w:lineRule="auto"/>
        <w:ind w:left="284" w:right="284"/>
        <w:jc w:val="both"/>
        <w:rPr>
          <w:rFonts w:ascii="Times New Roman" w:hAnsi="Times New Roman" w:cs="Times New Roman"/>
          <w:color w:val="000000"/>
          <w:kern w:val="0"/>
        </w:rPr>
      </w:pPr>
    </w:p>
    <w:p w14:paraId="2EE1E4B9" w14:textId="77777777" w:rsidR="000F35C3" w:rsidRDefault="000F35C3">
      <w:pPr>
        <w:widowControl w:val="0"/>
        <w:tabs>
          <w:tab w:val="left" w:pos="1440"/>
          <w:tab w:val="left" w:pos="2520"/>
          <w:tab w:val="left" w:pos="3870"/>
          <w:tab w:val="left" w:pos="5130"/>
          <w:tab w:val="left" w:pos="5490"/>
          <w:tab w:val="left" w:pos="6660"/>
          <w:tab w:val="left" w:pos="792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CF0924" w14:paraId="585FFB41" w14:textId="77777777">
        <w:tc>
          <w:tcPr>
            <w:tcW w:w="9486" w:type="dxa"/>
            <w:tcBorders>
              <w:top w:val="single" w:sz="6" w:space="0" w:color="auto"/>
              <w:left w:val="single" w:sz="8" w:space="0" w:color="auto"/>
              <w:bottom w:val="single" w:sz="6" w:space="0" w:color="auto"/>
              <w:right w:val="nil"/>
            </w:tcBorders>
            <w:shd w:val="pct30" w:color="0080FF" w:fill="FFFFFF"/>
          </w:tcPr>
          <w:p w14:paraId="2B105284" w14:textId="77777777" w:rsidR="000F35C3" w:rsidRDefault="000F35C3">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ZNALECKÁ DOLOŽKA</w:t>
            </w:r>
          </w:p>
        </w:tc>
        <w:tc>
          <w:tcPr>
            <w:tcW w:w="152" w:type="dxa"/>
            <w:tcBorders>
              <w:top w:val="single" w:sz="6" w:space="0" w:color="auto"/>
              <w:left w:val="nil"/>
              <w:bottom w:val="single" w:sz="6" w:space="0" w:color="auto"/>
              <w:right w:val="single" w:sz="8" w:space="0" w:color="auto"/>
            </w:tcBorders>
            <w:shd w:val="pct30" w:color="0080FF" w:fill="FFFFFF"/>
          </w:tcPr>
          <w:p w14:paraId="2C3A6C78" w14:textId="77777777" w:rsidR="000F35C3" w:rsidRDefault="000F35C3">
            <w:pPr>
              <w:widowControl w:val="0"/>
              <w:autoSpaceDE w:val="0"/>
              <w:autoSpaceDN w:val="0"/>
              <w:adjustRightInd w:val="0"/>
              <w:spacing w:after="0" w:line="240" w:lineRule="auto"/>
              <w:jc w:val="center"/>
              <w:rPr>
                <w:rFonts w:ascii="Times New Roman" w:hAnsi="Times New Roman" w:cs="Times New Roman"/>
                <w:b/>
                <w:bCs/>
                <w:color w:val="000000"/>
                <w:kern w:val="0"/>
                <w:u w:val="single"/>
              </w:rPr>
            </w:pPr>
          </w:p>
        </w:tc>
      </w:tr>
    </w:tbl>
    <w:p w14:paraId="7536C746" w14:textId="77777777" w:rsidR="000F35C3" w:rsidRDefault="000F35C3">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u w:val="single"/>
        </w:rPr>
      </w:pPr>
    </w:p>
    <w:p w14:paraId="5187C064" w14:textId="77777777" w:rsidR="000F35C3" w:rsidRDefault="000F35C3">
      <w:pPr>
        <w:widowControl w:val="0"/>
        <w:autoSpaceDE w:val="0"/>
        <w:autoSpaceDN w:val="0"/>
        <w:adjustRightInd w:val="0"/>
        <w:spacing w:line="259" w:lineRule="auto"/>
        <w:jc w:val="both"/>
        <w:rPr>
          <w:rFonts w:ascii="Times New Roman" w:hAnsi="Times New Roman" w:cs="Times New Roman"/>
          <w:color w:val="000000"/>
          <w:kern w:val="0"/>
        </w:rPr>
      </w:pPr>
      <w:r>
        <w:rPr>
          <w:rFonts w:ascii="Times New Roman" w:hAnsi="Times New Roman" w:cs="Times New Roman"/>
          <w:color w:val="000000"/>
          <w:kern w:val="0"/>
        </w:rPr>
        <w:t xml:space="preserve">Posudek podává Znalecká společnost s.r.o., se sídlem v Praha 1 - Nové Město, Palackého 715/15, PSČ 110 00, IČ 29042054, zapsaná MSpr ČR č.j. 165/2010-OD-ZN podle ust. § 21 odst. 3 zák. č. 36/1967 Sb. a § 6 odst. 1 vyhl. Č. 37/1967 Sb., ve znění pozdějších předpisů, do prvého oddílu seznamu ústavů kvalifikovaných pro znaleckou činnost, a to pro znalecké posudky v oboru ekonomika s rozsahem znaleckého oprávnění pro ceny a odhady nemovitostí.                                            </w:t>
      </w:r>
    </w:p>
    <w:p w14:paraId="5FEC8ED3" w14:textId="77777777" w:rsidR="000F35C3" w:rsidRDefault="000F35C3">
      <w:pPr>
        <w:widowControl w:val="0"/>
        <w:tabs>
          <w:tab w:val="left" w:pos="4230"/>
        </w:tabs>
        <w:autoSpaceDE w:val="0"/>
        <w:autoSpaceDN w:val="0"/>
        <w:adjustRightInd w:val="0"/>
        <w:spacing w:before="170" w:after="113" w:line="240" w:lineRule="auto"/>
        <w:rPr>
          <w:rFonts w:ascii="Times New Roman" w:hAnsi="Times New Roman" w:cs="Times New Roman"/>
          <w:color w:val="000000"/>
          <w:kern w:val="0"/>
        </w:rPr>
      </w:pPr>
      <w:r>
        <w:rPr>
          <w:rFonts w:ascii="Times New Roman" w:hAnsi="Times New Roman" w:cs="Times New Roman"/>
          <w:color w:val="000000"/>
          <w:kern w:val="0"/>
        </w:rPr>
        <w:t>Znalecký posudek je zapsán v evidenci posudků pod pořadovým číslem 008041/2026.</w:t>
      </w:r>
    </w:p>
    <w:p w14:paraId="11300DF8" w14:textId="33362422" w:rsidR="000F35C3" w:rsidRDefault="000F35C3">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r>
        <w:rPr>
          <w:rFonts w:ascii="Times New Roman" w:hAnsi="Times New Roman" w:cs="Times New Roman"/>
          <w:color w:val="000000"/>
          <w:kern w:val="0"/>
        </w:rPr>
        <w:t xml:space="preserve">V Praze </w:t>
      </w:r>
      <w:r w:rsidR="00154DF9">
        <w:rPr>
          <w:rFonts w:ascii="Times New Roman" w:hAnsi="Times New Roman" w:cs="Times New Roman"/>
          <w:color w:val="000000"/>
          <w:kern w:val="0"/>
        </w:rPr>
        <w:t>10.02</w:t>
      </w:r>
      <w:r>
        <w:rPr>
          <w:rFonts w:ascii="Times New Roman" w:hAnsi="Times New Roman" w:cs="Times New Roman"/>
          <w:color w:val="000000"/>
          <w:kern w:val="0"/>
        </w:rPr>
        <w:t>.2026</w:t>
      </w:r>
    </w:p>
    <w:p w14:paraId="7B94AA59" w14:textId="77777777" w:rsidR="000F35C3" w:rsidRDefault="000F35C3">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p>
    <w:p w14:paraId="11580E92" w14:textId="77777777" w:rsidR="000F35C3" w:rsidRDefault="000F35C3">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p>
    <w:p w14:paraId="7A33C2CA" w14:textId="77777777" w:rsidR="000F35C3" w:rsidRDefault="000F35C3">
      <w:pPr>
        <w:widowControl w:val="0"/>
        <w:tabs>
          <w:tab w:val="left" w:pos="4230"/>
        </w:tabs>
        <w:autoSpaceDE w:val="0"/>
        <w:autoSpaceDN w:val="0"/>
        <w:adjustRightInd w:val="0"/>
        <w:spacing w:before="340" w:after="17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OTISK ZNALECKÉ PEČETI</w:t>
      </w:r>
    </w:p>
    <w:p w14:paraId="2EC4B1BA" w14:textId="77777777" w:rsidR="000F35C3" w:rsidRDefault="000F35C3">
      <w:pPr>
        <w:widowControl w:val="0"/>
        <w:tabs>
          <w:tab w:val="left" w:pos="4230"/>
        </w:tabs>
        <w:autoSpaceDE w:val="0"/>
        <w:autoSpaceDN w:val="0"/>
        <w:adjustRightInd w:val="0"/>
        <w:spacing w:after="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Znalecká společnost s.r.o.</w:t>
      </w:r>
    </w:p>
    <w:p w14:paraId="4AE2E73D" w14:textId="77777777" w:rsidR="000F35C3" w:rsidRDefault="000F35C3">
      <w:pPr>
        <w:widowControl w:val="0"/>
        <w:tabs>
          <w:tab w:val="left" w:pos="4230"/>
        </w:tabs>
        <w:autoSpaceDE w:val="0"/>
        <w:autoSpaceDN w:val="0"/>
        <w:adjustRightInd w:val="0"/>
        <w:spacing w:after="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Palackého 715/15</w:t>
      </w:r>
    </w:p>
    <w:p w14:paraId="7DCDF19D" w14:textId="77777777" w:rsidR="000F35C3" w:rsidRDefault="000F35C3">
      <w:pPr>
        <w:widowControl w:val="0"/>
        <w:tabs>
          <w:tab w:val="left" w:pos="4230"/>
        </w:tabs>
        <w:autoSpaceDE w:val="0"/>
        <w:autoSpaceDN w:val="0"/>
        <w:adjustRightInd w:val="0"/>
        <w:spacing w:after="17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110 00 Praha 1 - Nové Město</w:t>
      </w:r>
    </w:p>
    <w:p w14:paraId="02270F61" w14:textId="77777777" w:rsidR="000F35C3" w:rsidRDefault="000F35C3">
      <w:pPr>
        <w:widowControl w:val="0"/>
        <w:tabs>
          <w:tab w:val="left" w:pos="4230"/>
        </w:tabs>
        <w:autoSpaceDE w:val="0"/>
        <w:autoSpaceDN w:val="0"/>
        <w:adjustRightInd w:val="0"/>
        <w:spacing w:after="0" w:line="240" w:lineRule="auto"/>
        <w:rPr>
          <w:rFonts w:ascii="Times New Roman" w:hAnsi="Times New Roman" w:cs="Times New Roman"/>
          <w:color w:val="000000"/>
          <w:kern w:val="0"/>
          <w:sz w:val="20"/>
          <w:szCs w:val="20"/>
        </w:rPr>
      </w:pPr>
    </w:p>
    <w:sectPr w:rsidR="000F35C3">
      <w:footerReference w:type="even" r:id="rId11"/>
      <w:footerReference w:type="default" r:id="rId12"/>
      <w:headerReference w:type="first" r:id="rId13"/>
      <w:footerReference w:type="first" r:id="rId14"/>
      <w:pgSz w:w="11906" w:h="16838"/>
      <w:pgMar w:top="1417" w:right="1134" w:bottom="1417" w:left="1134" w:header="720" w:footer="7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D550D" w14:textId="77777777" w:rsidR="000F35C3" w:rsidRDefault="000F35C3">
      <w:pPr>
        <w:spacing w:after="0" w:line="240" w:lineRule="auto"/>
      </w:pPr>
      <w:r>
        <w:separator/>
      </w:r>
    </w:p>
  </w:endnote>
  <w:endnote w:type="continuationSeparator" w:id="0">
    <w:p w14:paraId="7AF90B06" w14:textId="77777777" w:rsidR="000F35C3" w:rsidRDefault="000F3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4E843" w14:textId="77777777" w:rsidR="000F35C3" w:rsidRDefault="000F35C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color w:val="000000"/>
        <w:kern w:val="0"/>
      </w:rPr>
      <w:fldChar w:fldCharType="begin"/>
    </w:r>
    <w:r>
      <w:rPr>
        <w:rFonts w:ascii="Times New Roman" w:hAnsi="Times New Roman" w:cs="Times New Roman"/>
        <w:color w:val="000000"/>
        <w:kern w:val="0"/>
      </w:rPr>
      <w:instrText>PAGE</w:instrText>
    </w:r>
    <w:r>
      <w:rPr>
        <w:rFonts w:ascii="Times New Roman" w:hAnsi="Times New Roman" w:cs="Times New Roman"/>
        <w:color w:val="000000"/>
        <w:kern w:val="0"/>
      </w:rPr>
      <w:fldChar w:fldCharType="separate"/>
    </w:r>
    <w:r>
      <w:rPr>
        <w:rFonts w:ascii="Times New Roman" w:hAnsi="Times New Roman" w:cs="Times New Roman"/>
        <w:color w:val="000000"/>
        <w:kern w:val="0"/>
      </w:rPr>
      <w:t>PAGE</w:t>
    </w:r>
    <w:r>
      <w:rPr>
        <w:rFonts w:ascii="Times New Roman" w:hAnsi="Times New Roman" w:cs="Times New Roman"/>
        <w:color w:val="000000"/>
        <w:kern w:val="0"/>
      </w:rPr>
      <w:fldChar w:fldCharType="end"/>
    </w:r>
    <w:r>
      <w:rPr>
        <w:rFonts w:ascii="Times New Roman" w:hAnsi="Times New Roman" w:cs="Times New Roman"/>
        <w:color w:val="000000"/>
        <w:kern w:val="0"/>
      </w:rPr>
      <w:t xml:space="preserve"> -</w:t>
    </w:r>
  </w:p>
  <w:p w14:paraId="45DF2429" w14:textId="77777777" w:rsidR="000F35C3" w:rsidRDefault="000F35C3">
    <w:pPr>
      <w:widowControl w:val="0"/>
      <w:autoSpaceDE w:val="0"/>
      <w:autoSpaceDN w:val="0"/>
      <w:adjustRightInd w:val="0"/>
      <w:spacing w:after="0" w:line="240" w:lineRule="auto"/>
      <w:rPr>
        <w:rFonts w:ascii="Times New Roman" w:hAnsi="Times New Roman" w:cs="Times New Roman"/>
        <w:kern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FF0B1" w14:textId="77777777" w:rsidR="000F35C3" w:rsidRDefault="000F35C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color w:val="000000"/>
        <w:kern w:val="0"/>
      </w:rPr>
      <w:fldChar w:fldCharType="begin"/>
    </w:r>
    <w:r>
      <w:rPr>
        <w:rFonts w:ascii="Times New Roman" w:hAnsi="Times New Roman" w:cs="Times New Roman"/>
        <w:color w:val="000000"/>
        <w:kern w:val="0"/>
      </w:rPr>
      <w:instrText>PAGE</w:instrText>
    </w:r>
    <w:r>
      <w:rPr>
        <w:rFonts w:ascii="Times New Roman" w:hAnsi="Times New Roman" w:cs="Times New Roman"/>
        <w:color w:val="000000"/>
        <w:kern w:val="0"/>
      </w:rPr>
      <w:fldChar w:fldCharType="separate"/>
    </w:r>
    <w:r>
      <w:rPr>
        <w:rFonts w:ascii="Times New Roman" w:hAnsi="Times New Roman" w:cs="Times New Roman"/>
        <w:color w:val="000000"/>
        <w:kern w:val="0"/>
      </w:rPr>
      <w:t>PAGE</w:t>
    </w:r>
    <w:r>
      <w:rPr>
        <w:rFonts w:ascii="Times New Roman" w:hAnsi="Times New Roman" w:cs="Times New Roman"/>
        <w:color w:val="000000"/>
        <w:kern w:val="0"/>
      </w:rPr>
      <w:fldChar w:fldCharType="end"/>
    </w:r>
    <w:r>
      <w:rPr>
        <w:rFonts w:ascii="Times New Roman" w:hAnsi="Times New Roman" w:cs="Times New Roman"/>
        <w:color w:val="000000"/>
        <w:kern w:val="0"/>
      </w:rPr>
      <w:t xml:space="preserve"> -</w:t>
    </w:r>
  </w:p>
  <w:p w14:paraId="3F1182CE" w14:textId="77777777" w:rsidR="000F35C3" w:rsidRDefault="000F35C3">
    <w:pPr>
      <w:widowControl w:val="0"/>
      <w:autoSpaceDE w:val="0"/>
      <w:autoSpaceDN w:val="0"/>
      <w:adjustRightInd w:val="0"/>
      <w:spacing w:after="0" w:line="240" w:lineRule="auto"/>
      <w:rPr>
        <w:rFonts w:ascii="Times New Roman" w:hAnsi="Times New Roman" w:cs="Times New Roman"/>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6510F" w14:textId="77777777" w:rsidR="000F35C3" w:rsidRDefault="000F35C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 </w:t>
    </w:r>
  </w:p>
  <w:p w14:paraId="17F0A024" w14:textId="77777777" w:rsidR="000F35C3" w:rsidRDefault="000F35C3">
    <w:pPr>
      <w:widowControl w:val="0"/>
      <w:autoSpaceDE w:val="0"/>
      <w:autoSpaceDN w:val="0"/>
      <w:adjustRightInd w:val="0"/>
      <w:spacing w:after="0" w:line="240" w:lineRule="auto"/>
      <w:rPr>
        <w:rFonts w:ascii="Times New Roman" w:hAnsi="Times New Roman" w:cs="Times New Roman"/>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67694" w14:textId="77777777" w:rsidR="000F35C3" w:rsidRDefault="000F35C3">
      <w:pPr>
        <w:spacing w:after="0" w:line="240" w:lineRule="auto"/>
      </w:pPr>
      <w:r>
        <w:separator/>
      </w:r>
    </w:p>
  </w:footnote>
  <w:footnote w:type="continuationSeparator" w:id="0">
    <w:p w14:paraId="4958B95C" w14:textId="77777777" w:rsidR="000F35C3" w:rsidRDefault="000F35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AC99" w14:textId="77777777" w:rsidR="000F35C3" w:rsidRDefault="000F35C3">
    <w:pPr>
      <w:widowControl w:val="0"/>
      <w:autoSpaceDE w:val="0"/>
      <w:autoSpaceDN w:val="0"/>
      <w:adjustRightInd w:val="0"/>
      <w:spacing w:after="0" w:line="240" w:lineRule="auto"/>
      <w:rPr>
        <w:rFonts w:ascii="Times New Roman" w:hAnsi="Times New Roman" w:cs="Times New Roman"/>
        <w:color w:val="000000"/>
        <w:kern w:val="0"/>
        <w:sz w:val="20"/>
        <w:szCs w:val="20"/>
      </w:rPr>
    </w:pPr>
  </w:p>
  <w:p w14:paraId="7CBD6835" w14:textId="77777777" w:rsidR="000F35C3" w:rsidRDefault="000F35C3">
    <w:pPr>
      <w:widowControl w:val="0"/>
      <w:autoSpaceDE w:val="0"/>
      <w:autoSpaceDN w:val="0"/>
      <w:adjustRightInd w:val="0"/>
      <w:spacing w:after="0" w:line="240" w:lineRule="auto"/>
      <w:rPr>
        <w:rFonts w:ascii="Times New Roman" w:hAnsi="Times New Roman" w:cs="Times New Roman"/>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3AF1"/>
    <w:multiLevelType w:val="multilevel"/>
    <w:tmpl w:val="FFFFFFFF"/>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lowerRoman"/>
      <w:lvlText w:val="%5)"/>
      <w:lvlJc w:val="left"/>
    </w:lvl>
    <w:lvl w:ilvl="5">
      <w:start w:val="1"/>
      <w:numFmt w:val="lowerLetter"/>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1436166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5C3"/>
    <w:rsid w:val="000F35C3"/>
    <w:rsid w:val="00154DF9"/>
    <w:rsid w:val="00197CD5"/>
    <w:rsid w:val="00397898"/>
    <w:rsid w:val="008D6358"/>
    <w:rsid w:val="00C72FC0"/>
    <w:rsid w:val="00CF09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BBF57E"/>
  <w14:defaultImageDpi w14:val="0"/>
  <w15:docId w15:val="{36EF4B93-8329-4C38-B1A8-43FFF4C4B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pPr>
      <w:widowControl w:val="0"/>
      <w:autoSpaceDE w:val="0"/>
      <w:autoSpaceDN w:val="0"/>
      <w:adjustRightInd w:val="0"/>
      <w:spacing w:after="0" w:line="240" w:lineRule="auto"/>
    </w:pPr>
    <w:rPr>
      <w:rFonts w:ascii="Times New Roman" w:hAnsi="Times New Roman" w:cs="Times New Roman"/>
      <w:color w:val="000000"/>
      <w:kern w:val="0"/>
    </w:rPr>
  </w:style>
  <w:style w:type="paragraph" w:customStyle="1" w:styleId="Texttabulky">
    <w:name w:val="Text tabulky"/>
    <w:next w:val="Textodstavce"/>
    <w:uiPriority w:val="99"/>
    <w:pPr>
      <w:widowControl w:val="0"/>
      <w:autoSpaceDE w:val="0"/>
      <w:autoSpaceDN w:val="0"/>
      <w:adjustRightInd w:val="0"/>
      <w:spacing w:after="0" w:line="240" w:lineRule="auto"/>
    </w:pPr>
    <w:rPr>
      <w:rFonts w:ascii="Times New Roman" w:hAnsi="Times New Roman" w:cs="Times New Roman"/>
      <w:color w:val="000000"/>
      <w:kern w:val="0"/>
      <w:sz w:val="22"/>
      <w:szCs w:val="22"/>
    </w:rPr>
  </w:style>
  <w:style w:type="paragraph" w:customStyle="1" w:styleId="Nadpisodstavce">
    <w:name w:val="Nadpis odstavce"/>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Cislovanynadpis">
    <w:name w:val="Cislovany nadpis"/>
    <w:next w:val="Textodstavce"/>
    <w:uiPriority w:val="99"/>
    <w:pPr>
      <w:widowControl w:val="0"/>
      <w:autoSpaceDE w:val="0"/>
      <w:autoSpaceDN w:val="0"/>
      <w:adjustRightInd w:val="0"/>
      <w:spacing w:before="240" w:after="20" w:line="240" w:lineRule="auto"/>
    </w:pPr>
    <w:rPr>
      <w:rFonts w:ascii="Times New Roman" w:hAnsi="Times New Roman" w:cs="Times New Roman"/>
      <w:b/>
      <w:bCs/>
      <w:color w:val="000000"/>
      <w:kern w:val="0"/>
      <w:u w:val="single"/>
    </w:rPr>
  </w:style>
  <w:style w:type="paragraph" w:customStyle="1" w:styleId="Nadpisoddlu">
    <w:name w:val="Nadpis oddílu"/>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sz w:val="32"/>
      <w:szCs w:val="32"/>
    </w:rPr>
  </w:style>
  <w:style w:type="paragraph" w:customStyle="1" w:styleId="Nadpissekce">
    <w:name w:val="Nadpis sekce"/>
    <w:next w:val="Textodstavce"/>
    <w:uiPriority w:val="99"/>
    <w:pPr>
      <w:widowControl w:val="0"/>
      <w:autoSpaceDE w:val="0"/>
      <w:autoSpaceDN w:val="0"/>
      <w:adjustRightInd w:val="0"/>
      <w:spacing w:before="240" w:after="120" w:line="240" w:lineRule="auto"/>
    </w:pPr>
    <w:rPr>
      <w:rFonts w:ascii="Times New Roman" w:hAnsi="Times New Roman" w:cs="Times New Roman"/>
      <w:b/>
      <w:bCs/>
      <w:color w:val="000000"/>
      <w:kern w:val="0"/>
      <w:sz w:val="28"/>
      <w:szCs w:val="28"/>
    </w:rPr>
  </w:style>
  <w:style w:type="paragraph" w:customStyle="1" w:styleId="Nadpisobjektu">
    <w:name w:val="Nadpis objektu"/>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Nadpisvocenn">
    <w:name w:val="Nadpis v ocenění"/>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PodNadpisvocenn">
    <w:name w:val="PodNadpis v ocenění"/>
    <w:next w:val="Textodstavce"/>
    <w:uiPriority w:val="99"/>
    <w:pPr>
      <w:widowControl w:val="0"/>
      <w:autoSpaceDE w:val="0"/>
      <w:autoSpaceDN w:val="0"/>
      <w:adjustRightInd w:val="0"/>
      <w:spacing w:before="240" w:after="60" w:line="240" w:lineRule="auto"/>
    </w:pPr>
    <w:rPr>
      <w:rFonts w:ascii="Times New Roman" w:hAnsi="Times New Roman" w:cs="Times New Roman"/>
      <w:color w:val="000000"/>
      <w:kern w:val="0"/>
    </w:rPr>
  </w:style>
  <w:style w:type="paragraph" w:customStyle="1" w:styleId="Vsledek">
    <w:name w:val="Výsledek"/>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Vsledekvtabulce">
    <w:name w:val="Výsledek v tabul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Mezivsledek-podnadpis">
    <w:name w:val="Mezivýsledek-podnadpis"/>
    <w:next w:val="Textodstavce"/>
    <w:uiPriority w:val="99"/>
    <w:pPr>
      <w:widowControl w:val="0"/>
      <w:autoSpaceDE w:val="0"/>
      <w:autoSpaceDN w:val="0"/>
      <w:adjustRightInd w:val="0"/>
      <w:spacing w:before="240" w:after="60" w:line="240" w:lineRule="auto"/>
    </w:pPr>
    <w:rPr>
      <w:rFonts w:ascii="Times New Roman" w:hAnsi="Times New Roman" w:cs="Times New Roman"/>
      <w:color w:val="000000"/>
      <w:kern w:val="0"/>
    </w:rPr>
  </w:style>
  <w:style w:type="paragraph" w:customStyle="1" w:styleId="Obsahsekce">
    <w:name w:val="Obsah sekce"/>
    <w:next w:val="Texttabulky"/>
    <w:uiPriority w:val="99"/>
    <w:pPr>
      <w:widowControl w:val="0"/>
      <w:autoSpaceDE w:val="0"/>
      <w:autoSpaceDN w:val="0"/>
      <w:adjustRightInd w:val="0"/>
      <w:spacing w:before="60" w:after="0" w:line="240" w:lineRule="auto"/>
      <w:ind w:left="567"/>
    </w:pPr>
    <w:rPr>
      <w:rFonts w:ascii="Times New Roman" w:hAnsi="Times New Roman" w:cs="Times New Roman"/>
      <w:b/>
      <w:bCs/>
      <w:color w:val="000000"/>
      <w:kern w:val="0"/>
    </w:rPr>
  </w:style>
  <w:style w:type="paragraph" w:customStyle="1" w:styleId="Obsahobjekty">
    <w:name w:val="Obsah objekty"/>
    <w:next w:val="Textodstavce"/>
    <w:uiPriority w:val="99"/>
    <w:pPr>
      <w:widowControl w:val="0"/>
      <w:autoSpaceDE w:val="0"/>
      <w:autoSpaceDN w:val="0"/>
      <w:adjustRightInd w:val="0"/>
      <w:spacing w:after="0" w:line="240" w:lineRule="auto"/>
      <w:ind w:left="1417" w:firstLine="1134"/>
    </w:pPr>
    <w:rPr>
      <w:rFonts w:ascii="Times New Roman" w:hAnsi="Times New Roman" w:cs="Times New Roman"/>
      <w:color w:val="000000"/>
      <w:kern w:val="0"/>
    </w:rPr>
  </w:style>
  <w:style w:type="paragraph" w:customStyle="1" w:styleId="Rekapitulacesekce">
    <w:name w:val="Rekapitulace sekce"/>
    <w:next w:val="Textodstavce"/>
    <w:uiPriority w:val="99"/>
    <w:pPr>
      <w:widowControl w:val="0"/>
      <w:autoSpaceDE w:val="0"/>
      <w:autoSpaceDN w:val="0"/>
      <w:adjustRightInd w:val="0"/>
      <w:spacing w:before="60" w:after="0" w:line="240" w:lineRule="auto"/>
      <w:ind w:left="560"/>
    </w:pPr>
    <w:rPr>
      <w:rFonts w:ascii="Times New Roman" w:hAnsi="Times New Roman" w:cs="Times New Roman"/>
      <w:b/>
      <w:bCs/>
      <w:color w:val="000000"/>
      <w:kern w:val="0"/>
    </w:rPr>
  </w:style>
  <w:style w:type="paragraph" w:customStyle="1" w:styleId="Rekapitulaceobjekty">
    <w:name w:val="Rekapitulace objekty"/>
    <w:next w:val="Textodstavce"/>
    <w:uiPriority w:val="99"/>
    <w:pPr>
      <w:widowControl w:val="0"/>
      <w:autoSpaceDE w:val="0"/>
      <w:autoSpaceDN w:val="0"/>
      <w:adjustRightInd w:val="0"/>
      <w:spacing w:after="0" w:line="240" w:lineRule="auto"/>
      <w:ind w:left="1417" w:firstLine="1134"/>
    </w:pPr>
    <w:rPr>
      <w:rFonts w:ascii="Times New Roman" w:hAnsi="Times New Roman" w:cs="Times New Roman"/>
      <w:color w:val="000000"/>
      <w:kern w:val="0"/>
    </w:rPr>
  </w:style>
  <w:style w:type="paragraph" w:customStyle="1" w:styleId="Rekapitulacemezivsledek">
    <w:name w:val="Rekapitulace mezivýsledek"/>
    <w:next w:val="Textodstavce"/>
    <w:uiPriority w:val="99"/>
    <w:pPr>
      <w:widowControl w:val="0"/>
      <w:autoSpaceDE w:val="0"/>
      <w:autoSpaceDN w:val="0"/>
      <w:adjustRightInd w:val="0"/>
      <w:spacing w:before="60" w:after="60" w:line="240" w:lineRule="auto"/>
    </w:pPr>
    <w:rPr>
      <w:rFonts w:ascii="Times New Roman" w:hAnsi="Times New Roman" w:cs="Times New Roman"/>
      <w:b/>
      <w:bCs/>
      <w:color w:val="000000"/>
      <w:kern w:val="0"/>
    </w:rPr>
  </w:style>
  <w:style w:type="paragraph" w:customStyle="1" w:styleId="Rekapitulacevsledek">
    <w:name w:val="Rekapitulace výsledek"/>
    <w:next w:val="Textodstavce"/>
    <w:uiPriority w:val="99"/>
    <w:pPr>
      <w:widowControl w:val="0"/>
      <w:autoSpaceDE w:val="0"/>
      <w:autoSpaceDN w:val="0"/>
      <w:adjustRightInd w:val="0"/>
      <w:spacing w:before="60" w:after="60" w:line="240" w:lineRule="auto"/>
    </w:pPr>
    <w:rPr>
      <w:rFonts w:ascii="Times New Roman" w:hAnsi="Times New Roman" w:cs="Times New Roman"/>
      <w:b/>
      <w:bCs/>
      <w:color w:val="000000"/>
      <w:kern w:val="0"/>
    </w:rPr>
  </w:style>
  <w:style w:type="paragraph" w:customStyle="1" w:styleId="Cslovtabulce">
    <w:name w:val="Císlo v tabulce"/>
    <w:next w:val="Textodstavce"/>
    <w:uiPriority w:val="99"/>
    <w:pPr>
      <w:widowControl w:val="0"/>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4464</Words>
  <Characters>25895</Characters>
  <Application>Microsoft Office Word</Application>
  <DocSecurity>0</DocSecurity>
  <Lines>215</Lines>
  <Paragraphs>60</Paragraphs>
  <ScaleCrop>false</ScaleCrop>
  <Company/>
  <LinksUpToDate>false</LinksUpToDate>
  <CharactersWithSpaces>30299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jiri.roub</dc:creator>
  <cp:keywords/>
  <dc:description/>
  <cp:lastModifiedBy>jiri.roub</cp:lastModifiedBy>
  <cp:revision>4</cp:revision>
  <dcterms:created xsi:type="dcterms:W3CDTF">2026-01-28T12:33:00Z</dcterms:created>
  <dcterms:modified xsi:type="dcterms:W3CDTF">2026-02-09T20:31:00Z</dcterms:modified>
</cp:coreProperties>
</file>